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4">
      <w:pPr>
        <w:numPr>
          <w:ilvl w:val="1"/>
          <w:numId w:val="14"/>
        </w:numPr>
        <w:pBdr>
          <w:top w:space="0" w:sz="0" w:val="nil"/>
          <w:left w:space="0" w:sz="0" w:val="nil"/>
          <w:bottom w:space="0" w:sz="0" w:val="nil"/>
          <w:right w:space="0" w:sz="0" w:val="nil"/>
          <w:between w:space="0" w:sz="0" w:val="nil"/>
        </w:pBdr>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5">
      <w:pPr>
        <w:numPr>
          <w:ilvl w:val="1"/>
          <w:numId w:val="14"/>
        </w:numPr>
        <w:pBdr>
          <w:top w:space="0" w:sz="0" w:val="nil"/>
          <w:left w:space="0" w:sz="0" w:val="nil"/>
          <w:bottom w:space="0" w:sz="0" w:val="nil"/>
          <w:right w:space="0" w:sz="0" w:val="nil"/>
          <w:between w:space="0" w:sz="0" w:val="nil"/>
        </w:pBdr>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6">
      <w:pPr>
        <w:numPr>
          <w:ilvl w:val="1"/>
          <w:numId w:val="14"/>
        </w:numPr>
        <w:pBdr>
          <w:top w:space="0" w:sz="0" w:val="nil"/>
          <w:left w:space="0" w:sz="0" w:val="nil"/>
          <w:bottom w:space="0" w:sz="0" w:val="nil"/>
          <w:right w:space="0" w:sz="0" w:val="nil"/>
          <w:between w:space="0" w:sz="0" w:val="nil"/>
        </w:pBdr>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7">
      <w:pPr>
        <w:numPr>
          <w:ilvl w:val="2"/>
          <w:numId w:val="1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8">
      <w:pPr>
        <w:numPr>
          <w:ilvl w:val="2"/>
          <w:numId w:val="1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9">
      <w:pPr>
        <w:numPr>
          <w:ilvl w:val="2"/>
          <w:numId w:val="1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A">
      <w:pPr>
        <w:numPr>
          <w:ilvl w:val="2"/>
          <w:numId w:val="1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B">
      <w:pPr>
        <w:numPr>
          <w:ilvl w:val="2"/>
          <w:numId w:val="1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C">
      <w:pPr>
        <w:numPr>
          <w:ilvl w:val="2"/>
          <w:numId w:val="1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D">
      <w:pPr>
        <w:numPr>
          <w:ilvl w:val="2"/>
          <w:numId w:val="1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E">
      <w:pPr>
        <w:numPr>
          <w:ilvl w:val="2"/>
          <w:numId w:val="1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F">
      <w:pPr>
        <w:numPr>
          <w:ilvl w:val="2"/>
          <w:numId w:val="1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10">
      <w:pPr>
        <w:numPr>
          <w:ilvl w:val="2"/>
          <w:numId w:val="1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1">
      <w:pPr>
        <w:numPr>
          <w:ilvl w:val="2"/>
          <w:numId w:val="1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 and;</w:t>
      </w:r>
    </w:p>
    <w:p w:rsidR="00000000" w:rsidDel="00000000" w:rsidP="00000000" w:rsidRDefault="00000000" w:rsidRPr="00000000" w14:paraId="00000013">
      <w:pPr>
        <w:numPr>
          <w:ilvl w:val="2"/>
          <w:numId w:val="1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4">
      <w:pPr>
        <w:numPr>
          <w:ilvl w:val="3"/>
          <w:numId w:val="1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7" w:hanging="84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5">
      <w:pPr>
        <w:numPr>
          <w:ilvl w:val="3"/>
          <w:numId w:val="1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7" w:hanging="84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6">
      <w:pPr>
        <w:numPr>
          <w:ilvl w:val="2"/>
          <w:numId w:val="1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7">
      <w:pPr>
        <w:numPr>
          <w:ilvl w:val="2"/>
          <w:numId w:val="1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8">
      <w:pPr>
        <w:numPr>
          <w:ilvl w:val="2"/>
          <w:numId w:val="1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 w:hanging="85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r w:rsidDel="00000000" w:rsidR="00000000" w:rsidRPr="00000000">
        <w:rPr>
          <w:rtl w:val="0"/>
        </w:rPr>
      </w:r>
    </w:p>
    <w:p w:rsidR="00000000" w:rsidDel="00000000" w:rsidP="00000000" w:rsidRDefault="00000000" w:rsidRPr="00000000" w14:paraId="00000019">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hanging="360"/>
        <w:jc w:val="both"/>
        <w:rPr>
          <w:rFonts w:ascii="Arial" w:cs="Arial" w:eastAsia="Arial" w:hAnsi="Arial"/>
          <w:color w:val="000000"/>
          <w:sz w:val="24"/>
          <w:szCs w:val="24"/>
        </w:rPr>
      </w:pPr>
      <w:r w:rsidDel="00000000" w:rsidR="00000000" w:rsidRPr="00000000">
        <w:rPr>
          <w:rtl w:val="0"/>
        </w:rPr>
      </w:r>
    </w:p>
    <w:tbl>
      <w:tblPr>
        <w:tblStyle w:val="Table1"/>
        <w:tblW w:w="10033.0" w:type="dxa"/>
        <w:jc w:val="left"/>
        <w:tblInd w:w="-29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1"/>
        <w:gridCol w:w="7342"/>
        <w:tblGridChange w:id="0">
          <w:tblGrid>
            <w:gridCol w:w="2691"/>
            <w:gridCol w:w="734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1A">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“Accessed Contracts”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1B">
            <w:pPr>
              <w:tabs>
                <w:tab w:val="left" w:leader="none" w:pos="-179"/>
              </w:tabs>
              <w:spacing w:after="240" w:before="240" w:lineRule="auto"/>
              <w:ind w:left="1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Government Frameworks which are available to the Buyer and which the Buyer can grant access to the Supplier, as per Call Off Schedule 27 Accessed Contracts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C">
            <w:pPr>
              <w:spacing w:after="240" w:before="240" w:lineRule="auto"/>
              <w:rPr>
                <w:rFonts w:ascii="Arial" w:cs="Arial" w:eastAsia="Arial" w:hAnsi="Arial"/>
                <w:b w:val="1"/>
                <w:sz w:val="24"/>
                <w:szCs w:val="24"/>
              </w:rPr>
            </w:pPr>
            <w:bookmarkStart w:colFirst="0" w:colLast="0" w:name="_heading=h.1fob9te" w:id="0"/>
            <w:bookmarkEnd w:id="0"/>
            <w:r w:rsidDel="00000000" w:rsidR="00000000" w:rsidRPr="00000000">
              <w:rPr>
                <w:rFonts w:ascii="Arial" w:cs="Arial" w:eastAsia="Arial" w:hAnsi="Arial"/>
                <w:b w:val="1"/>
                <w:sz w:val="24"/>
                <w:szCs w:val="24"/>
                <w:rtl w:val="0"/>
              </w:rPr>
              <w:t xml:space="preserve">“Accounting Reference Date”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D">
            <w:pPr>
              <w:tabs>
                <w:tab w:val="left" w:leader="none" w:pos="-179"/>
              </w:tabs>
              <w:spacing w:after="240" w:before="240" w:lineRule="auto"/>
              <w:ind w:left="1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each year the date to which the Supplier prepares its annual audited financial statements;</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bookmarkStart w:colFirst="0" w:colLast="0" w:name="_heading=h.3znysh7" w:id="1"/>
            <w:bookmarkEnd w:id="1"/>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vAlign w:val="center"/>
          </w:tcPr>
          <w:p w:rsidR="00000000" w:rsidDel="00000000" w:rsidP="00000000" w:rsidRDefault="00000000" w:rsidRPr="00000000" w14:paraId="00000022">
            <w:pPr>
              <w:spacing w:after="12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“Additional Services”</w:t>
            </w:r>
          </w:p>
        </w:tc>
        <w:tc>
          <w:tcPr>
            <w:vAlign w:val="center"/>
          </w:tcPr>
          <w:p w:rsidR="00000000" w:rsidDel="00000000" w:rsidP="00000000" w:rsidRDefault="00000000" w:rsidRPr="00000000" w14:paraId="00000023">
            <w:pPr>
              <w:ind w:left="284" w:right="2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w:t>
            </w:r>
            <w:r w:rsidDel="00000000" w:rsidR="00000000" w:rsidRPr="00000000">
              <w:rPr>
                <w:rFonts w:ascii="Arial" w:cs="Arial" w:eastAsia="Arial" w:hAnsi="Arial"/>
                <w:sz w:val="24"/>
                <w:szCs w:val="24"/>
                <w:rtl w:val="0"/>
              </w:rPr>
              <w:t xml:space="preserve">Services as defined in Framework Schedule 1 – Specification that Suppliers may elect to provide under this Framework which are not Core Services.</w:t>
            </w:r>
            <w:r w:rsidDel="00000000" w:rsidR="00000000" w:rsidRPr="00000000">
              <w:rPr>
                <w:rtl w:val="0"/>
              </w:rPr>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“Agent(s)”</w:t>
            </w:r>
            <w:r w:rsidDel="00000000" w:rsidR="00000000" w:rsidRPr="00000000">
              <w:rPr>
                <w:rtl w:val="0"/>
              </w:rPr>
            </w:r>
          </w:p>
        </w:tc>
        <w:tc>
          <w:tcPr/>
          <w:p w:rsidR="00000000" w:rsidDel="00000000" w:rsidP="00000000" w:rsidRDefault="00000000" w:rsidRPr="00000000" w14:paraId="0000002B">
            <w:pPr>
              <w:tabs>
                <w:tab w:val="left" w:leader="none" w:pos="284"/>
              </w:tabs>
              <w:spacing w:line="276" w:lineRule="auto"/>
              <w:ind w:left="284" w:right="24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individual (s) delivering the Service</w:t>
            </w:r>
            <w:r w:rsidDel="00000000" w:rsidR="00000000" w:rsidRPr="00000000">
              <w:rPr>
                <w:rtl w:val="0"/>
              </w:rPr>
            </w:r>
          </w:p>
        </w:tc>
      </w:tr>
      <w:tr>
        <w:trPr>
          <w:cantSplit w:val="0"/>
          <w:tblHeader w:val="0"/>
        </w:trPr>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“AI”</w:t>
            </w:r>
            <w:r w:rsidDel="00000000" w:rsidR="00000000" w:rsidRPr="00000000">
              <w:rPr>
                <w:rtl w:val="0"/>
              </w:rPr>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Artificial Intelligence;</w:t>
            </w:r>
            <w:r w:rsidDel="00000000" w:rsidR="00000000" w:rsidRPr="00000000">
              <w:rPr>
                <w:rtl w:val="0"/>
              </w:rPr>
            </w:r>
          </w:p>
        </w:tc>
      </w:tr>
      <w:tr>
        <w:trPr>
          <w:cantSplit w:val="0"/>
          <w:tblHeader w:val="0"/>
        </w:trPr>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“Approved Codes of Practice (ACoP)”</w:t>
            </w:r>
            <w:r w:rsidDel="00000000" w:rsidR="00000000" w:rsidRPr="00000000">
              <w:rPr>
                <w:rtl w:val="0"/>
              </w:rPr>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recommended methods that should be used (or standards to be met) to comply with Health and Safety legislation.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“Asset”</w:t>
            </w:r>
          </w:p>
        </w:tc>
        <w:tc>
          <w:tcPr>
            <w:vAlign w:val="center"/>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item or equipment owned by the Buyer which is maintained by the Supplier as part of the required Services.</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“Asset Verification”</w:t>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2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 that the Supplier undertakes to verify the Assets as detailed in the Specification;</w:t>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“Asset Verification Audit”</w:t>
            </w:r>
          </w:p>
        </w:tc>
        <w:tc>
          <w:tcPr/>
          <w:p w:rsidR="00000000" w:rsidDel="00000000" w:rsidP="00000000" w:rsidRDefault="00000000" w:rsidRPr="00000000" w14:paraId="00000039">
            <w:pPr>
              <w:tabs>
                <w:tab w:val="left" w:leader="none" w:pos="-179"/>
                <w:tab w:val="left" w:leader="none" w:pos="-9"/>
              </w:tabs>
              <w:spacing w:after="240" w:before="240" w:line="276" w:lineRule="auto"/>
              <w:ind w:left="283" w:right="248" w:hanging="135"/>
              <w:rPr>
                <w:rFonts w:ascii="Arial" w:cs="Arial" w:eastAsia="Arial" w:hAnsi="Arial"/>
                <w:sz w:val="24"/>
                <w:szCs w:val="24"/>
              </w:rPr>
            </w:pPr>
            <w:r w:rsidDel="00000000" w:rsidR="00000000" w:rsidRPr="00000000">
              <w:rPr>
                <w:rFonts w:ascii="Arial" w:cs="Arial" w:eastAsia="Arial" w:hAnsi="Arial"/>
                <w:sz w:val="16"/>
                <w:szCs w:val="16"/>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an audit on the due diligence data provided by the Buyer to ensure potential errors, inaccuracies or omissions in the Asset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Data are identified and included in the Asset Verification Report;</w:t>
            </w:r>
          </w:p>
        </w:tc>
      </w:tr>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“Asset Verification Report”</w:t>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284" w:right="242" w:firstLine="0"/>
              <w:jc w:val="both"/>
              <w:rPr>
                <w:rFonts w:ascii="Arial" w:cs="Arial" w:eastAsia="Arial" w:hAnsi="Arial"/>
                <w:sz w:val="32"/>
                <w:szCs w:val="32"/>
              </w:rPr>
            </w:pPr>
            <w:r w:rsidDel="00000000" w:rsidR="00000000" w:rsidRPr="00000000">
              <w:rPr>
                <w:rFonts w:ascii="Arial" w:cs="Arial" w:eastAsia="Arial" w:hAnsi="Arial"/>
                <w:sz w:val="24"/>
                <w:szCs w:val="24"/>
                <w:rtl w:val="0"/>
              </w:rPr>
              <w:t xml:space="preserve">the report that the Supplier will produce to detail the findings and remedial action required to address any errors, inaccuracies or omissions identified in the “Asset Verification Audit” where revisions to the “Asset” information may, where agreed with the Buyer, necessitate revisions to the “Services” and/or “Charges” to ensure compliance with the Buyer’s statutory and/or insurance obligations</w:t>
            </w:r>
            <w:r w:rsidDel="00000000" w:rsidR="00000000" w:rsidRPr="00000000">
              <w:rPr>
                <w:rtl w:val="0"/>
              </w:rPr>
            </w:r>
          </w:p>
        </w:tc>
      </w:tr>
      <w:tr>
        <w:trPr>
          <w:cantSplit w:val="0"/>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“Asset Verification Rectification Plan”</w:t>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2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plan produced by the Supplier once the content of the Asset Verification Report has been agreed by the Buyer, that will include rectifications and the costs associated with the delivery of the PPM and reactive maintenance works</w:t>
            </w:r>
          </w:p>
        </w:tc>
      </w:tr>
      <w:tr>
        <w:trPr>
          <w:cantSplit w:val="0"/>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“Asset Verification Non Compliance Report”</w:t>
            </w:r>
          </w:p>
          <w:p w:rsidR="00000000" w:rsidDel="00000000" w:rsidP="00000000" w:rsidRDefault="00000000" w:rsidRPr="00000000" w14:paraId="0000003F">
            <w:pPr>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2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Asset Verification Non-Compliance Report is the report produced that shall include written evidence of findings, photographs, recommendations and associated costs to the Buyer to rectify the risks of non-compliance</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“Assistive Technologies”</w:t>
            </w:r>
            <w:r w:rsidDel="00000000" w:rsidR="00000000" w:rsidRPr="00000000">
              <w:rPr>
                <w:rtl w:val="0"/>
              </w:rPr>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2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describes products or systems that support and assist individuals with disabilities, restricted mobility or other impairments to perform functions that might otherwise be difficult or impossible</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“Associates”</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2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trPr>
          <w:cantSplit w:val="0"/>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47">
            <w:pPr>
              <w:numPr>
                <w:ilvl w:val="0"/>
                <w:numId w:val="6"/>
              </w:numPr>
              <w:pBdr>
                <w:top w:space="0" w:sz="0" w:val="nil"/>
                <w:left w:space="0" w:sz="0" w:val="nil"/>
                <w:bottom w:space="0" w:sz="0" w:val="nil"/>
                <w:right w:space="0" w:sz="0" w:val="nil"/>
                <w:between w:space="0" w:sz="0" w:val="nil"/>
              </w:pBdr>
              <w:tabs>
                <w:tab w:val="left" w:leader="none" w:pos="-179"/>
                <w:tab w:val="left" w:leader="none" w:pos="0"/>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48">
            <w:pPr>
              <w:numPr>
                <w:ilvl w:val="0"/>
                <w:numId w:val="6"/>
              </w:numPr>
              <w:pBdr>
                <w:top w:space="0" w:sz="0" w:val="nil"/>
                <w:left w:space="0" w:sz="0" w:val="nil"/>
                <w:bottom w:space="0" w:sz="0" w:val="nil"/>
                <w:right w:space="0" w:sz="0" w:val="nil"/>
                <w:between w:space="0" w:sz="0" w:val="nil"/>
              </w:pBdr>
              <w:tabs>
                <w:tab w:val="left" w:leader="none" w:pos="-179"/>
                <w:tab w:val="left" w:leader="none" w:pos="0"/>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uppliers) in connection with the provision of the Deliverables;</w:t>
            </w:r>
          </w:p>
          <w:p w:rsidR="00000000" w:rsidDel="00000000" w:rsidP="00000000" w:rsidRDefault="00000000" w:rsidRPr="00000000" w14:paraId="00000049">
            <w:pPr>
              <w:numPr>
                <w:ilvl w:val="0"/>
                <w:numId w:val="6"/>
              </w:numPr>
              <w:pBdr>
                <w:top w:space="0" w:sz="0" w:val="nil"/>
                <w:left w:space="0" w:sz="0" w:val="nil"/>
                <w:bottom w:space="0" w:sz="0" w:val="nil"/>
                <w:right w:space="0" w:sz="0" w:val="nil"/>
                <w:between w:space="0" w:sz="0" w:val="nil"/>
              </w:pBdr>
              <w:tabs>
                <w:tab w:val="left" w:leader="none" w:pos="-179"/>
                <w:tab w:val="left" w:leader="none" w:pos="0"/>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4A">
            <w:pPr>
              <w:numPr>
                <w:ilvl w:val="0"/>
                <w:numId w:val="6"/>
              </w:numPr>
              <w:pBdr>
                <w:top w:space="0" w:sz="0" w:val="nil"/>
                <w:left w:space="0" w:sz="0" w:val="nil"/>
                <w:bottom w:space="0" w:sz="0" w:val="nil"/>
                <w:right w:space="0" w:sz="0" w:val="nil"/>
                <w:between w:space="0" w:sz="0" w:val="nil"/>
              </w:pBdr>
              <w:tabs>
                <w:tab w:val="left" w:leader="none" w:pos="-179"/>
                <w:tab w:val="left" w:leader="none" w:pos="0"/>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4B">
            <w:pPr>
              <w:numPr>
                <w:ilvl w:val="0"/>
                <w:numId w:val="6"/>
              </w:numPr>
              <w:pBdr>
                <w:top w:space="0" w:sz="0" w:val="nil"/>
                <w:left w:space="0" w:sz="0" w:val="nil"/>
                <w:bottom w:space="0" w:sz="0" w:val="nil"/>
                <w:right w:space="0" w:sz="0" w:val="nil"/>
                <w:between w:space="0" w:sz="0" w:val="nil"/>
              </w:pBdr>
              <w:tabs>
                <w:tab w:val="left" w:leader="none" w:pos="-179"/>
                <w:tab w:val="left" w:leader="none" w:pos="0"/>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4C">
            <w:pPr>
              <w:numPr>
                <w:ilvl w:val="0"/>
                <w:numId w:val="6"/>
              </w:numPr>
              <w:pBdr>
                <w:top w:space="0" w:sz="0" w:val="nil"/>
                <w:left w:space="0" w:sz="0" w:val="nil"/>
                <w:bottom w:space="0" w:sz="0" w:val="nil"/>
                <w:right w:space="0" w:sz="0" w:val="nil"/>
                <w:between w:space="0" w:sz="0" w:val="nil"/>
              </w:pBdr>
              <w:tabs>
                <w:tab w:val="left" w:leader="none" w:pos="-179"/>
                <w:tab w:val="left" w:leader="none" w:pos="0"/>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4D">
            <w:pPr>
              <w:numPr>
                <w:ilvl w:val="0"/>
                <w:numId w:val="6"/>
              </w:numPr>
              <w:pBdr>
                <w:top w:space="0" w:sz="0" w:val="nil"/>
                <w:left w:space="0" w:sz="0" w:val="nil"/>
                <w:bottom w:space="0" w:sz="0" w:val="nil"/>
                <w:right w:space="0" w:sz="0" w:val="nil"/>
                <w:between w:space="0" w:sz="0" w:val="nil"/>
              </w:pBdr>
              <w:tabs>
                <w:tab w:val="left" w:leader="none" w:pos="-179"/>
                <w:tab w:val="left" w:leader="none" w:pos="0"/>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4E">
            <w:pPr>
              <w:numPr>
                <w:ilvl w:val="0"/>
                <w:numId w:val="6"/>
              </w:numPr>
              <w:pBdr>
                <w:top w:space="0" w:sz="0" w:val="nil"/>
                <w:left w:space="0" w:sz="0" w:val="nil"/>
                <w:bottom w:space="0" w:sz="0" w:val="nil"/>
                <w:right w:space="0" w:sz="0" w:val="nil"/>
                <w:between w:space="0" w:sz="0" w:val="nil"/>
              </w:pBdr>
              <w:tabs>
                <w:tab w:val="left" w:leader="none" w:pos="-179"/>
                <w:tab w:val="left" w:leader="none" w:pos="0"/>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4F">
            <w:pPr>
              <w:numPr>
                <w:ilvl w:val="0"/>
                <w:numId w:val="6"/>
              </w:numPr>
              <w:pBdr>
                <w:top w:space="0" w:sz="0" w:val="nil"/>
                <w:left w:space="0" w:sz="0" w:val="nil"/>
                <w:bottom w:space="0" w:sz="0" w:val="nil"/>
                <w:right w:space="0" w:sz="0" w:val="nil"/>
                <w:between w:space="0" w:sz="0" w:val="nil"/>
              </w:pBdr>
              <w:tabs>
                <w:tab w:val="left" w:leader="none" w:pos="-179"/>
                <w:tab w:val="left" w:leader="none" w:pos="0"/>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50">
            <w:pPr>
              <w:numPr>
                <w:ilvl w:val="0"/>
                <w:numId w:val="6"/>
              </w:numPr>
              <w:pBdr>
                <w:top w:space="0" w:sz="0" w:val="nil"/>
                <w:left w:space="0" w:sz="0" w:val="nil"/>
                <w:bottom w:space="0" w:sz="0" w:val="nil"/>
                <w:right w:space="0" w:sz="0" w:val="nil"/>
                <w:between w:space="0" w:sz="0" w:val="nil"/>
              </w:pBdr>
              <w:tabs>
                <w:tab w:val="left" w:leader="none" w:pos="-179"/>
                <w:tab w:val="left" w:leader="none" w:pos="0"/>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51">
            <w:pPr>
              <w:numPr>
                <w:ilvl w:val="0"/>
                <w:numId w:val="6"/>
              </w:numPr>
              <w:pBdr>
                <w:top w:space="0" w:sz="0" w:val="nil"/>
                <w:left w:space="0" w:sz="0" w:val="nil"/>
                <w:bottom w:space="0" w:sz="0" w:val="nil"/>
                <w:right w:space="0" w:sz="0" w:val="nil"/>
                <w:between w:space="0" w:sz="0" w:val="nil"/>
              </w:pBdr>
              <w:tabs>
                <w:tab w:val="left" w:leader="none" w:pos="-179"/>
                <w:tab w:val="left" w:leader="none" w:pos="0"/>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w:t>
            </w:r>
          </w:p>
          <w:p w:rsidR="00000000" w:rsidDel="00000000" w:rsidP="00000000" w:rsidRDefault="00000000" w:rsidRPr="00000000" w14:paraId="00000052">
            <w:pPr>
              <w:numPr>
                <w:ilvl w:val="2"/>
                <w:numId w:val="6"/>
              </w:numPr>
              <w:pBdr>
                <w:top w:space="0" w:sz="0" w:val="nil"/>
                <w:left w:space="0" w:sz="0" w:val="nil"/>
                <w:bottom w:space="0" w:sz="0" w:val="nil"/>
                <w:right w:space="0" w:sz="0" w:val="nil"/>
                <w:between w:space="0" w:sz="0" w:val="nil"/>
              </w:pBdr>
              <w:tabs>
                <w:tab w:val="left" w:leader="none" w:pos="-179"/>
                <w:tab w:val="left" w:leader="none" w:pos="0"/>
              </w:tabs>
              <w:spacing w:after="120" w:lineRule="auto"/>
              <w:ind w:left="1417"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Management Information delivered or required by the Framework Contract; or</w:t>
            </w:r>
          </w:p>
          <w:p w:rsidR="00000000" w:rsidDel="00000000" w:rsidP="00000000" w:rsidRDefault="00000000" w:rsidRPr="00000000" w14:paraId="00000053">
            <w:pPr>
              <w:numPr>
                <w:ilvl w:val="2"/>
                <w:numId w:val="6"/>
              </w:numPr>
              <w:pBdr>
                <w:top w:space="0" w:sz="0" w:val="nil"/>
                <w:left w:space="0" w:sz="0" w:val="nil"/>
                <w:bottom w:space="0" w:sz="0" w:val="nil"/>
                <w:right w:space="0" w:sz="0" w:val="nil"/>
                <w:between w:space="0" w:sz="0" w:val="nil"/>
              </w:pBdr>
              <w:tabs>
                <w:tab w:val="left" w:leader="none" w:pos="-179"/>
                <w:tab w:val="left" w:leader="none" w:pos="0"/>
              </w:tabs>
              <w:spacing w:after="120" w:lineRule="auto"/>
              <w:ind w:left="1417"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Financial Report and compliance with Financial Transparency Objectives as specified by the Buyer in the Order Form;</w:t>
            </w:r>
          </w:p>
        </w:tc>
      </w:tr>
      <w:tr>
        <w:trPr>
          <w:cantSplit w:val="0"/>
          <w:tblHeader w:val="0"/>
        </w:trPr>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55">
            <w:pPr>
              <w:numPr>
                <w:ilvl w:val="0"/>
                <w:numId w:val="18"/>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56">
            <w:pPr>
              <w:numPr>
                <w:ilvl w:val="0"/>
                <w:numId w:val="18"/>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57">
            <w:pPr>
              <w:numPr>
                <w:ilvl w:val="0"/>
                <w:numId w:val="18"/>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58">
            <w:pPr>
              <w:numPr>
                <w:ilvl w:val="0"/>
                <w:numId w:val="18"/>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59">
            <w:pPr>
              <w:numPr>
                <w:ilvl w:val="0"/>
                <w:numId w:val="18"/>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5A">
            <w:pPr>
              <w:numPr>
                <w:ilvl w:val="0"/>
                <w:numId w:val="18"/>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5C">
            <w:pPr>
              <w:tabs>
                <w:tab w:val="left" w:leader="none" w:pos="284"/>
              </w:tabs>
              <w:ind w:left="142" w:right="2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CCS and each Buyer;</w:t>
            </w:r>
          </w:p>
        </w:tc>
      </w:tr>
      <w:tr>
        <w:trPr>
          <w:cantSplit w:val="0"/>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“Back Office Processing”</w:t>
            </w:r>
            <w:r w:rsidDel="00000000" w:rsidR="00000000" w:rsidRPr="00000000">
              <w:rPr>
                <w:rtl w:val="0"/>
              </w:rPr>
            </w:r>
          </w:p>
        </w:tc>
        <w:tc>
          <w:tcPr/>
          <w:p w:rsidR="00000000" w:rsidDel="00000000" w:rsidP="00000000" w:rsidRDefault="00000000" w:rsidRPr="00000000" w14:paraId="00000060">
            <w:pPr>
              <w:tabs>
                <w:tab w:val="left" w:leader="none" w:pos="284"/>
              </w:tabs>
              <w:spacing w:line="276" w:lineRule="auto"/>
              <w:ind w:left="142" w:right="2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administrative functions carried out by the Supplier either manually or automated not requiring front line contact;</w:t>
            </w:r>
          </w:p>
        </w:tc>
      </w:tr>
      <w:tr>
        <w:trPr>
          <w:cantSplit w:val="0"/>
          <w:tblHeader w:val="0"/>
        </w:trP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“Back-pay”</w:t>
            </w:r>
          </w:p>
        </w:tc>
        <w:tc>
          <w:tcPr/>
          <w:p w:rsidR="00000000" w:rsidDel="00000000" w:rsidP="00000000" w:rsidRDefault="00000000" w:rsidRPr="00000000" w14:paraId="00000062">
            <w:pPr>
              <w:tabs>
                <w:tab w:val="left" w:leader="none" w:pos="284"/>
              </w:tabs>
              <w:spacing w:line="276" w:lineRule="auto"/>
              <w:ind w:left="142" w:right="2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is the amount of salary and other benefits that an employee claims that they are owed after a wrongful termination;</w:t>
            </w:r>
          </w:p>
        </w:tc>
      </w:tr>
      <w:tr>
        <w:trPr>
          <w:cantSplit w:val="0"/>
          <w:tblHeader w:val="0"/>
        </w:trPr>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1490"/>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“Beyond Economic Repair”</w:t>
            </w:r>
            <w:r w:rsidDel="00000000" w:rsidR="00000000" w:rsidRPr="00000000">
              <w:rPr>
                <w:rtl w:val="0"/>
              </w:rPr>
            </w:r>
          </w:p>
        </w:tc>
        <w:tc>
          <w:tcP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where the cost of repairing and/or maintaining an Asset outweighs the cost of replacing it and is likely to increase the risk of  unplanned downtime or pose potential health and safety risks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1490"/>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"Baseline Monthly Payment"</w:t>
            </w:r>
            <w:r w:rsidDel="00000000" w:rsidR="00000000" w:rsidRPr="00000000">
              <w:rPr>
                <w:rtl w:val="0"/>
              </w:rPr>
            </w:r>
          </w:p>
        </w:tc>
        <w:tc>
          <w:tcP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284"/>
              </w:tabs>
              <w:spacing w:after="120" w:lineRule="auto"/>
              <w:ind w:left="142" w:right="2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payment payable in respect of a Service Month as set by reference to the Pricing Matrix.</w:t>
            </w:r>
          </w:p>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1490"/>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"Billable Works"</w:t>
            </w:r>
            <w:r w:rsidDel="00000000" w:rsidR="00000000" w:rsidRPr="00000000">
              <w:rPr>
                <w:rtl w:val="0"/>
              </w:rPr>
            </w:r>
          </w:p>
        </w:tc>
        <w:tc>
          <w:tcP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Deliverables that are not included in the Baseline Monthly Payment and are raised in accordance with the Billable Works and Approvals Process.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1490"/>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"Billable Works and Approval Process"</w:t>
            </w:r>
            <w:r w:rsidDel="00000000" w:rsidR="00000000" w:rsidRPr="00000000">
              <w:rPr>
                <w:rtl w:val="0"/>
              </w:rPr>
            </w:r>
          </w:p>
        </w:tc>
        <w:tc>
          <w:tcP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process described as such in Call-Off Schedule 25 - Billable Works and Projects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490"/>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"Billable Works Management Uplift Percentage"</w:t>
            </w:r>
            <w:r w:rsidDel="00000000" w:rsidR="00000000" w:rsidRPr="00000000">
              <w:rPr>
                <w:rtl w:val="0"/>
              </w:rPr>
            </w:r>
          </w:p>
        </w:tc>
        <w:tc>
          <w:tcP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rPr>
                <w:rFonts w:ascii="Arial" w:cs="Arial" w:eastAsia="Arial" w:hAnsi="Arial"/>
                <w:color w:val="000000"/>
                <w:sz w:val="24"/>
                <w:szCs w:val="24"/>
              </w:rPr>
            </w:pPr>
            <w:bookmarkStart w:colFirst="0" w:colLast="0" w:name="_heading=h.2et92p0" w:id="2"/>
            <w:bookmarkEnd w:id="2"/>
            <w:r w:rsidDel="00000000" w:rsidR="00000000" w:rsidRPr="00000000">
              <w:rPr>
                <w:rFonts w:ascii="Arial" w:cs="Arial" w:eastAsia="Arial" w:hAnsi="Arial"/>
                <w:color w:val="202124"/>
                <w:sz w:val="24"/>
                <w:szCs w:val="24"/>
                <w:rtl w:val="0"/>
              </w:rPr>
              <w:t xml:space="preserve">The % applied to the cost of the Billable Works as set out in the Pricing Matrix, to cover overhead costs as detailed in Call Off schedule 25 - Billable Works paragraph 2.2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1490"/>
              </w:tabs>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“BCDR Plan”</w:t>
            </w:r>
          </w:p>
        </w:tc>
        <w:tc>
          <w:tcP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given to it in Paragraph 1.2 of Call-Off Schedule 8;</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1490"/>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"Business Critical Events"</w:t>
            </w:r>
            <w:r w:rsidDel="00000000" w:rsidR="00000000" w:rsidRPr="00000000">
              <w:rPr>
                <w:rtl w:val="0"/>
              </w:rPr>
            </w:r>
          </w:p>
        </w:tc>
        <w:tc>
          <w:tcPr>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(i) described as such in the Order Form; (ii)  which relates to the immediate security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or health and safety of Buyer Premises; or (iii) which triggers the invocation of the BCDR Plan;</w:t>
            </w:r>
          </w:p>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1490"/>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tab/>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79">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rHeight w:val="540" w:hRule="atLeast"/>
          <w:tblHeader w:val="0"/>
        </w:trPr>
        <w:tc>
          <w:tcPr>
            <w:vAlign w:val="cente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“Buyer Equipment”</w:t>
            </w:r>
            <w:r w:rsidDel="00000000" w:rsidR="00000000" w:rsidRPr="00000000">
              <w:rPr>
                <w:rtl w:val="0"/>
              </w:rPr>
            </w:r>
          </w:p>
        </w:tc>
        <w:tc>
          <w:tcPr>
            <w:vAlign w:val="center"/>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any Buyer Assets at any Site on the Call-Off Start Date;</w:t>
            </w:r>
            <w:r w:rsidDel="00000000" w:rsidR="00000000" w:rsidRPr="00000000">
              <w:rPr>
                <w:rtl w:val="0"/>
              </w:rPr>
            </w:r>
          </w:p>
        </w:tc>
      </w:tr>
      <w:tr>
        <w:trPr>
          <w:cantSplit w:val="0"/>
          <w:tblHeader w:val="0"/>
        </w:trPr>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“Buyer Third Parties”</w:t>
            </w:r>
            <w:r w:rsidDel="00000000" w:rsidR="00000000" w:rsidRPr="00000000">
              <w:rPr>
                <w:rtl w:val="0"/>
              </w:rPr>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hanging="17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any third party Supplier providing Deliverables to the Buyer</w:t>
            </w:r>
            <w:r w:rsidDel="00000000" w:rsidR="00000000" w:rsidRPr="00000000">
              <w:rPr>
                <w:rtl w:val="0"/>
              </w:rPr>
            </w:r>
          </w:p>
        </w:tc>
      </w:tr>
      <w:tr>
        <w:trPr>
          <w:cantSplit w:val="0"/>
          <w:tblHeader w:val="0"/>
        </w:trPr>
        <w:tc>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“Cadw”</w:t>
            </w:r>
            <w:r w:rsidDel="00000000" w:rsidR="00000000" w:rsidRPr="00000000">
              <w:rPr>
                <w:rtl w:val="0"/>
              </w:rPr>
            </w:r>
          </w:p>
        </w:tc>
        <w:tc>
          <w:tcPr/>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Welsh Government's historic environment service. Cadw is a Welsh word meaning ‘to keep’ or ‘to protect’.</w:t>
            </w:r>
            <w:r w:rsidDel="00000000" w:rsidR="00000000" w:rsidRPr="00000000">
              <w:rPr>
                <w:rtl w:val="0"/>
              </w:rPr>
            </w:r>
          </w:p>
        </w:tc>
      </w:tr>
      <w:tr>
        <w:trPr>
          <w:cantSplit w:val="0"/>
          <w:tblHeader w:val="0"/>
        </w:trPr>
        <w:tc>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“CAFM”</w:t>
            </w:r>
            <w:r w:rsidDel="00000000" w:rsidR="00000000" w:rsidRPr="00000000">
              <w:rPr>
                <w:rtl w:val="0"/>
              </w:rPr>
            </w:r>
          </w:p>
        </w:tc>
        <w:tc>
          <w:tcPr/>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Computer Aided Facility Management</w:t>
            </w:r>
            <w:r w:rsidDel="00000000" w:rsidR="00000000" w:rsidRPr="00000000">
              <w:rPr>
                <w:rtl w:val="0"/>
              </w:rPr>
            </w:r>
          </w:p>
        </w:tc>
      </w:tr>
      <w:tr>
        <w:trPr>
          <w:cantSplit w:val="0"/>
          <w:tblHeader w:val="0"/>
        </w:trPr>
        <w:tc>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vAlign w:val="center"/>
          </w:tcPr>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Initial Period of a Call-Off Contract specified in the Order Form from when the Services commence</w:t>
            </w:r>
            <w:r w:rsidDel="00000000" w:rsidR="00000000" w:rsidRPr="00000000">
              <w:rPr>
                <w:rFonts w:ascii="Arial" w:cs="Arial" w:eastAsia="Arial" w:hAnsi="Arial"/>
                <w:color w:val="000000"/>
                <w:sz w:val="24"/>
                <w:szCs w:val="24"/>
                <w:highlight w:val="white"/>
                <w:rtl w:val="0"/>
              </w:rPr>
              <w:t xml:space="preserve"> following the Mobilisation Period;</w:t>
            </w:r>
            <w:r w:rsidDel="00000000" w:rsidR="00000000" w:rsidRPr="00000000">
              <w:rPr>
                <w:rtl w:val="0"/>
              </w:rPr>
            </w:r>
          </w:p>
        </w:tc>
      </w:tr>
      <w:tr>
        <w:trPr>
          <w:cantSplit w:val="0"/>
          <w:tblHeader w:val="0"/>
        </w:trPr>
        <w:tc>
          <w:tcPr/>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start of a Call-Off Contract as stated in the Order Form;</w:t>
            </w:r>
          </w:p>
        </w:tc>
      </w:tr>
      <w:tr>
        <w:trPr>
          <w:cantSplit w:val="0"/>
          <w:tblHeader w:val="0"/>
        </w:trPr>
        <w:tc>
          <w:tcPr/>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“Carbon Reduction Plan”</w:t>
            </w:r>
          </w:p>
        </w:tc>
        <w:tc>
          <w:tcPr/>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202124"/>
                <w:sz w:val="24"/>
                <w:szCs w:val="24"/>
                <w:highlight w:val="white"/>
                <w:rtl w:val="0"/>
              </w:rPr>
              <w:t xml:space="preserve">a plan which contains the details of  emissions across a single year against a range of emissions sources and greenhouse gasses, as per PPN 06/21.</w:t>
            </w:r>
            <w:r w:rsidDel="00000000" w:rsidR="00000000" w:rsidRPr="00000000">
              <w:rPr>
                <w:rtl w:val="0"/>
              </w:rPr>
            </w:r>
          </w:p>
        </w:tc>
      </w:tr>
      <w:tr>
        <w:trPr>
          <w:cantSplit w:val="0"/>
          <w:tblHeader w:val="0"/>
        </w:trPr>
        <w:tc>
          <w:tcPr/>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A1">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A3">
            <w:pPr>
              <w:numPr>
                <w:ilvl w:val="1"/>
                <w:numId w:val="13"/>
              </w:numPr>
              <w:pBdr>
                <w:top w:space="0" w:sz="0" w:val="nil"/>
                <w:left w:space="0" w:sz="0" w:val="nil"/>
                <w:bottom w:space="0" w:sz="0" w:val="nil"/>
                <w:right w:space="0" w:sz="0" w:val="nil"/>
                <w:between w:space="0" w:sz="0" w:val="nil"/>
              </w:pBdr>
              <w:tabs>
                <w:tab w:val="left" w:leader="none" w:pos="-576"/>
                <w:tab w:val="left" w:leader="none" w:pos="284"/>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A4">
            <w:pPr>
              <w:numPr>
                <w:ilvl w:val="1"/>
                <w:numId w:val="13"/>
              </w:numPr>
              <w:pBdr>
                <w:top w:space="0" w:sz="0" w:val="nil"/>
                <w:left w:space="0" w:sz="0" w:val="nil"/>
                <w:bottom w:space="0" w:sz="0" w:val="nil"/>
                <w:right w:space="0" w:sz="0" w:val="nil"/>
                <w:between w:space="0" w:sz="0" w:val="nil"/>
              </w:pBdr>
              <w:tabs>
                <w:tab w:val="left" w:leader="none" w:pos="-576"/>
                <w:tab w:val="left" w:leader="none" w:pos="284"/>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A5">
            <w:pPr>
              <w:numPr>
                <w:ilvl w:val="1"/>
                <w:numId w:val="13"/>
              </w:numPr>
              <w:pBdr>
                <w:top w:space="0" w:sz="0" w:val="nil"/>
                <w:left w:space="0" w:sz="0" w:val="nil"/>
                <w:bottom w:space="0" w:sz="0" w:val="nil"/>
                <w:right w:space="0" w:sz="0" w:val="nil"/>
                <w:between w:space="0" w:sz="0" w:val="nil"/>
              </w:pBdr>
              <w:tabs>
                <w:tab w:val="left" w:leader="none" w:pos="-576"/>
                <w:tab w:val="left" w:leader="none" w:pos="284"/>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A6">
            <w:pPr>
              <w:numPr>
                <w:ilvl w:val="1"/>
                <w:numId w:val="13"/>
              </w:numPr>
              <w:pBdr>
                <w:top w:space="0" w:sz="0" w:val="nil"/>
                <w:left w:space="0" w:sz="0" w:val="nil"/>
                <w:bottom w:space="0" w:sz="0" w:val="nil"/>
                <w:right w:space="0" w:sz="0" w:val="nil"/>
                <w:between w:space="0" w:sz="0" w:val="nil"/>
              </w:pBdr>
              <w:tabs>
                <w:tab w:val="left" w:leader="none" w:pos="-576"/>
                <w:tab w:val="left" w:leader="none" w:pos="284"/>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“Cleaning Consumables”</w:t>
            </w:r>
            <w:r w:rsidDel="00000000" w:rsidR="00000000" w:rsidRPr="00000000">
              <w:rPr>
                <w:rtl w:val="0"/>
              </w:rPr>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and all supplies and materials of the type that are necessary for the performance of the Cleaning Services, including, without limitation, floor finishes, cleaners, detergents, sanitizers, hand soaps, wipes, paper towels, plastics.</w:t>
            </w:r>
            <w:r w:rsidDel="00000000" w:rsidR="00000000" w:rsidRPr="00000000">
              <w:rPr>
                <w:rtl w:val="0"/>
              </w:rPr>
            </w:r>
          </w:p>
        </w:tc>
      </w:tr>
      <w:tr>
        <w:trPr>
          <w:cantSplit w:val="0"/>
          <w:tblHeader w:val="0"/>
        </w:trPr>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“Commercial Off-the-shelf (COTS)”</w:t>
            </w:r>
            <w:r w:rsidDel="00000000" w:rsidR="00000000" w:rsidRPr="00000000">
              <w:rPr>
                <w:rtl w:val="0"/>
              </w:rPr>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products that are packaged solutions which are then adapted to satisfy the needs of the purchasing organization, rather than the commissioning of custom-made, or bespoke, solutions;</w:t>
            </w:r>
          </w:p>
        </w:tc>
      </w:tr>
      <w:tr>
        <w:trPr>
          <w:cantSplit w:val="0"/>
          <w:tblHeader w:val="0"/>
        </w:trPr>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Management Plan”</w:t>
            </w:r>
          </w:p>
        </w:tc>
        <w:tc>
          <w:tcPr/>
          <w:p w:rsidR="00000000" w:rsidDel="00000000" w:rsidP="00000000" w:rsidRDefault="00000000" w:rsidRPr="00000000" w14:paraId="000000B8">
            <w:pPr>
              <w:tabs>
                <w:tab w:val="left" w:leader="none" w:pos="-179"/>
                <w:tab w:val="left" w:leader="none" w:pos="284"/>
              </w:tabs>
              <w:spacing w:after="240" w:before="240" w:line="276" w:lineRule="auto"/>
              <w:ind w:left="360" w:right="24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by which a Supplier shall plan, organise, control, and lead activities that ensure compliance with all legal requirements and any Buyer specified Services outlined within the Call-Off Contract.</w:t>
            </w:r>
          </w:p>
        </w:tc>
      </w:tr>
      <w:tr>
        <w:trPr>
          <w:cantSplit w:val="0"/>
          <w:tblHeader w:val="0"/>
        </w:trP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Management System”</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integrated system of documents, processes, tools, controls, and functions designed to ensure compliance with all legal requirements and any Buyer specified Services outlined within the Call-Off Contract. </w:t>
            </w:r>
          </w:p>
        </w:tc>
      </w:tr>
      <w:tr>
        <w:trPr>
          <w:cantSplit w:val="0"/>
          <w:tblHeader w:val="0"/>
        </w:trP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Report”</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report produced to highlight whether the Buyer Premises in its current condition and in the way it is currently used is fully </w:t>
            </w:r>
            <w:r w:rsidDel="00000000" w:rsidR="00000000" w:rsidRPr="00000000">
              <w:rPr>
                <w:rFonts w:ascii="Arial" w:cs="Arial" w:eastAsia="Arial" w:hAnsi="Arial"/>
                <w:sz w:val="24"/>
                <w:szCs w:val="24"/>
                <w:rtl w:val="0"/>
              </w:rPr>
              <w:t xml:space="preserve">compliant</w:t>
            </w:r>
            <w:r w:rsidDel="00000000" w:rsidR="00000000" w:rsidRPr="00000000">
              <w:rPr>
                <w:rFonts w:ascii="Arial" w:cs="Arial" w:eastAsia="Arial" w:hAnsi="Arial"/>
                <w:color w:val="000000"/>
                <w:sz w:val="24"/>
                <w:szCs w:val="24"/>
                <w:rtl w:val="0"/>
              </w:rPr>
              <w:t xml:space="preserve"> with all legislation and statutory requirements.</w:t>
            </w:r>
          </w:p>
        </w:tc>
      </w:tr>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vAlign w:val="center"/>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“Condition Survey”</w:t>
            </w:r>
            <w:r w:rsidDel="00000000" w:rsidR="00000000" w:rsidRPr="00000000">
              <w:rPr>
                <w:rtl w:val="0"/>
              </w:rPr>
            </w:r>
          </w:p>
        </w:tc>
        <w:tc>
          <w:tcPr>
            <w:vAlign w:val="center"/>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formal periodic survey carried out by the Supplier on the Buyer’s systems, Assets and building fabric, performed annually (or as otherwise specified by the Buyer);</w:t>
            </w:r>
            <w:r w:rsidDel="00000000" w:rsidR="00000000" w:rsidRPr="00000000">
              <w:rPr>
                <w:rtl w:val="0"/>
              </w:rPr>
            </w:r>
          </w:p>
        </w:tc>
      </w:tr>
      <w:tr>
        <w:trPr>
          <w:cantSplit w:val="0"/>
          <w:tblHeader w:val="0"/>
        </w:trPr>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C3">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C5">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“Continuous Improvement”</w:t>
            </w:r>
            <w:r w:rsidDel="00000000" w:rsidR="00000000" w:rsidRPr="00000000">
              <w:rPr>
                <w:rtl w:val="0"/>
              </w:rPr>
            </w:r>
          </w:p>
        </w:tc>
        <w:tc>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an ongoing effort to improve products, services or processes;</w:t>
            </w:r>
            <w:r w:rsidDel="00000000" w:rsidR="00000000" w:rsidRPr="00000000">
              <w:rPr>
                <w:rtl w:val="0"/>
              </w:rPr>
            </w:r>
          </w:p>
        </w:tc>
      </w:tr>
      <w:tr>
        <w:trPr>
          <w:cantSplit w:val="0"/>
          <w:tblHeader w:val="0"/>
        </w:trPr>
        <w:tc>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“Contract Management”</w:t>
            </w:r>
            <w:r w:rsidDel="00000000" w:rsidR="00000000" w:rsidRPr="00000000">
              <w:rPr>
                <w:rtl w:val="0"/>
              </w:rPr>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the process that ensures Suppliers adhere to their agreed contractual obligations along with negotiating any future changes that need to take place;</w:t>
            </w:r>
            <w:r w:rsidDel="00000000" w:rsidR="00000000" w:rsidRPr="00000000">
              <w:rPr>
                <w:rtl w:val="0"/>
              </w:rPr>
            </w:r>
          </w:p>
        </w:tc>
      </w:tr>
      <w:tr>
        <w:trPr>
          <w:cantSplit w:val="0"/>
          <w:tblHeader w:val="0"/>
        </w:trPr>
        <w:tc>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179"/>
                <w:tab w:val="left" w:leader="none" w:pos="270"/>
              </w:tabs>
              <w:spacing w:after="120" w:lineRule="auto"/>
              <w:ind w:left="1700" w:right="242" w:hanging="141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leader="none" w:pos="-179"/>
                <w:tab w:val="left" w:leader="none" w:pos="270"/>
              </w:tabs>
              <w:spacing w:after="120" w:lineRule="auto"/>
              <w:ind w:left="1417" w:right="242" w:hanging="113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(12) Months commencing on the Call-Off Start Date or each anniversary thereof;</w:t>
            </w:r>
          </w:p>
        </w:tc>
      </w:tr>
      <w:tr>
        <w:trPr>
          <w:cantSplit w:val="0"/>
          <w:tblHeader w:val="0"/>
        </w:trPr>
        <w:tc>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“COPR”</w:t>
            </w:r>
            <w:r w:rsidDel="00000000" w:rsidR="00000000" w:rsidRPr="00000000">
              <w:rPr>
                <w:rtl w:val="0"/>
              </w:rPr>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Control of Pesticides Regulations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D9">
            <w:pP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“Core Services”</w:t>
            </w:r>
          </w:p>
          <w:p w:rsidR="00000000" w:rsidDel="00000000" w:rsidP="00000000" w:rsidRDefault="00000000" w:rsidRPr="00000000" w14:paraId="000000DA">
            <w:pPr>
              <w:spacing w:after="120" w:lineRule="auto"/>
              <w:rPr>
                <w:rFonts w:ascii="Arial" w:cs="Arial" w:eastAsia="Arial" w:hAnsi="Arial"/>
                <w:b w:val="1"/>
                <w:sz w:val="24"/>
                <w:szCs w:val="24"/>
              </w:rPr>
            </w:pPr>
            <w:r w:rsidDel="00000000" w:rsidR="00000000" w:rsidRPr="00000000">
              <w:rPr>
                <w:rtl w:val="0"/>
              </w:rPr>
            </w:r>
          </w:p>
        </w:tc>
        <w:tc>
          <w:tcPr>
            <w:vAlign w:val="center"/>
          </w:tcPr>
          <w:p w:rsidR="00000000" w:rsidDel="00000000" w:rsidP="00000000" w:rsidRDefault="00000000" w:rsidRPr="00000000" w14:paraId="000000DB">
            <w:pPr>
              <w:tabs>
                <w:tab w:val="left" w:leader="none" w:pos="-179"/>
                <w:tab w:val="left" w:leader="none" w:pos="142"/>
              </w:tabs>
              <w:spacing w:after="120" w:lineRule="auto"/>
              <w:ind w:left="142"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services as defined in Framework Schedule 1 – Specification that all Suppliers must be capable of providing on this Framework.</w:t>
            </w:r>
          </w:p>
        </w:tc>
      </w:tr>
      <w:tr>
        <w:trPr>
          <w:cantSplit w:val="0"/>
          <w:tblHeader w:val="0"/>
        </w:trPr>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vAlign w:val="center"/>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Overhead” </w:t>
            </w:r>
          </w:p>
        </w:tc>
        <w:tc>
          <w:tcPr>
            <w:vAlign w:val="center"/>
          </w:tcPr>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Corporate Overhead is captured at Framework level in the form of a percentage uplift, and forms part of the price evaluation. At Further Competition the Framework rates are used as maximum rates, and bidders are invited to reduce the rates for each specific Further Competition.</w:t>
            </w:r>
          </w:p>
        </w:tc>
      </w:tr>
      <w:tr>
        <w:trPr>
          <w:cantSplit w:val="0"/>
          <w:tblHeader w:val="0"/>
        </w:trPr>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“COSHH”</w:t>
            </w:r>
          </w:p>
        </w:tc>
        <w:tc>
          <w:tcPr/>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 of Substances Hazardous to Health. The law that requires employers to control substances that are hazardous to health</w:t>
            </w:r>
          </w:p>
        </w:tc>
      </w:tr>
      <w:tr>
        <w:trPr>
          <w:cantSplit w:val="0"/>
          <w:tblHeader w:val="0"/>
        </w:trPr>
        <w:tc>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highlight w:val="green"/>
              </w:rPr>
            </w:pPr>
            <w:r w:rsidDel="00000000" w:rsidR="00000000" w:rsidRPr="00000000">
              <w:rPr>
                <w:rFonts w:ascii="Arial" w:cs="Arial" w:eastAsia="Arial" w:hAnsi="Arial"/>
                <w:b w:val="1"/>
                <w:sz w:val="24"/>
                <w:szCs w:val="24"/>
                <w:rtl w:val="0"/>
              </w:rPr>
              <w:t xml:space="preserve">“COSoP”</w:t>
            </w:r>
            <w:r w:rsidDel="00000000" w:rsidR="00000000" w:rsidRPr="00000000">
              <w:rPr>
                <w:rtl w:val="0"/>
              </w:rPr>
            </w:r>
          </w:p>
        </w:tc>
        <w:tc>
          <w:tcPr/>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Cabinet Office Statement of Practice;</w:t>
            </w:r>
            <w:r w:rsidDel="00000000" w:rsidR="00000000" w:rsidRPr="00000000">
              <w:rPr>
                <w:rtl w:val="0"/>
              </w:rPr>
            </w:r>
          </w:p>
        </w:tc>
      </w:tr>
      <w:tr>
        <w:trPr>
          <w:cantSplit w:val="0"/>
          <w:tblHeader w:val="0"/>
        </w:trPr>
        <w:tc>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E7">
            <w:pPr>
              <w:numPr>
                <w:ilvl w:val="1"/>
                <w:numId w:val="29"/>
              </w:numPr>
              <w:pBdr>
                <w:top w:space="0" w:sz="0" w:val="nil"/>
                <w:left w:space="0" w:sz="0" w:val="nil"/>
                <w:bottom w:space="0" w:sz="0" w:val="nil"/>
                <w:right w:space="0" w:sz="0" w:val="nil"/>
                <w:between w:space="0" w:sz="0" w:val="nil"/>
              </w:pBdr>
              <w:tabs>
                <w:tab w:val="left" w:leader="none" w:pos="-576"/>
                <w:tab w:val="left" w:leader="none" w:pos="270"/>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E8">
            <w:pPr>
              <w:numPr>
                <w:ilvl w:val="2"/>
                <w:numId w:val="29"/>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850"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E9">
            <w:pPr>
              <w:numPr>
                <w:ilvl w:val="2"/>
                <w:numId w:val="29"/>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850"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EA">
            <w:pPr>
              <w:numPr>
                <w:ilvl w:val="2"/>
                <w:numId w:val="29"/>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850"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EB">
            <w:pPr>
              <w:numPr>
                <w:ilvl w:val="2"/>
                <w:numId w:val="29"/>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850"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EC">
            <w:pPr>
              <w:numPr>
                <w:ilvl w:val="2"/>
                <w:numId w:val="29"/>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850"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ED">
            <w:pPr>
              <w:numPr>
                <w:ilvl w:val="2"/>
                <w:numId w:val="29"/>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850"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EE">
            <w:pPr>
              <w:numPr>
                <w:ilvl w:val="2"/>
                <w:numId w:val="29"/>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850"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EF">
            <w:pPr>
              <w:numPr>
                <w:ilvl w:val="2"/>
                <w:numId w:val="29"/>
              </w:numPr>
              <w:pBdr>
                <w:top w:space="0" w:sz="0" w:val="nil"/>
                <w:left w:space="0" w:sz="0" w:val="nil"/>
                <w:bottom w:space="0" w:sz="0" w:val="nil"/>
                <w:right w:space="0" w:sz="0" w:val="nil"/>
                <w:between w:space="0" w:sz="0" w:val="nil"/>
              </w:pBdr>
              <w:tabs>
                <w:tab w:val="left" w:leader="none" w:pos="-576"/>
                <w:tab w:val="left" w:leader="none" w:pos="144"/>
                <w:tab w:val="left" w:leader="none" w:pos="285"/>
              </w:tabs>
              <w:spacing w:after="120" w:lineRule="auto"/>
              <w:ind w:left="1559"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F0">
            <w:pPr>
              <w:numPr>
                <w:ilvl w:val="2"/>
                <w:numId w:val="29"/>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559"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F1">
            <w:pPr>
              <w:numPr>
                <w:ilvl w:val="1"/>
                <w:numId w:val="29"/>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F2">
            <w:pPr>
              <w:numPr>
                <w:ilvl w:val="1"/>
                <w:numId w:val="29"/>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F3">
            <w:pPr>
              <w:numPr>
                <w:ilvl w:val="1"/>
                <w:numId w:val="29"/>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left" w:leader="none" w:pos="-179"/>
                <w:tab w:val="left" w:leader="none" w:pos="284"/>
                <w:tab w:val="left" w:leader="none" w:pos="411"/>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F5">
            <w:pPr>
              <w:numPr>
                <w:ilvl w:val="1"/>
                <w:numId w:val="29"/>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F6">
            <w:pPr>
              <w:numPr>
                <w:ilvl w:val="1"/>
                <w:numId w:val="29"/>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F7">
            <w:pPr>
              <w:numPr>
                <w:ilvl w:val="1"/>
                <w:numId w:val="29"/>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F8">
            <w:pPr>
              <w:numPr>
                <w:ilvl w:val="1"/>
                <w:numId w:val="29"/>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F9">
            <w:pPr>
              <w:numPr>
                <w:ilvl w:val="1"/>
                <w:numId w:val="29"/>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FA">
            <w:pPr>
              <w:numPr>
                <w:ilvl w:val="1"/>
                <w:numId w:val="29"/>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FB">
            <w:pPr>
              <w:numPr>
                <w:ilvl w:val="1"/>
                <w:numId w:val="29"/>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“CQC”</w:t>
            </w:r>
            <w:r w:rsidDel="00000000" w:rsidR="00000000" w:rsidRPr="00000000">
              <w:rPr>
                <w:rtl w:val="0"/>
              </w:rPr>
            </w:r>
          </w:p>
        </w:tc>
        <w:tc>
          <w:tcPr/>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Care Quality Commission </w:t>
            </w:r>
            <w:r w:rsidDel="00000000" w:rsidR="00000000" w:rsidRPr="00000000">
              <w:rPr>
                <w:rtl w:val="0"/>
              </w:rPr>
            </w:r>
          </w:p>
        </w:tc>
      </w:tr>
      <w:tr>
        <w:trPr>
          <w:cantSplit w:val="0"/>
          <w:tblHeader w:val="0"/>
        </w:trPr>
        <w:tc>
          <w:tcPr/>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Threshold”</w:t>
            </w:r>
          </w:p>
        </w:tc>
        <w:tc>
          <w:tcPr/>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Award Form or Order Form, as the context requires</w:t>
            </w:r>
          </w:p>
        </w:tc>
      </w:tr>
      <w:tr>
        <w:trPr>
          <w:cantSplit w:val="0"/>
          <w:tblHeader w:val="0"/>
        </w:trPr>
        <w:tc>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“CRM”</w:t>
            </w:r>
            <w:r w:rsidDel="00000000" w:rsidR="00000000" w:rsidRPr="00000000">
              <w:rPr>
                <w:rtl w:val="0"/>
              </w:rPr>
            </w:r>
          </w:p>
        </w:tc>
        <w:tc>
          <w:tcPr/>
          <w:p w:rsidR="00000000" w:rsidDel="00000000" w:rsidP="00000000" w:rsidRDefault="00000000" w:rsidRPr="00000000" w14:paraId="00000101">
            <w:pPr>
              <w:tabs>
                <w:tab w:val="left" w:leader="none" w:pos="284"/>
              </w:tabs>
              <w:spacing w:line="276" w:lineRule="auto"/>
              <w:ind w:left="284" w:right="2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Customer Relationship Management</w:t>
            </w:r>
          </w:p>
        </w:tc>
      </w:tr>
      <w:tr>
        <w:trPr>
          <w:cantSplit w:val="0"/>
          <w:tblHeader w:val="0"/>
        </w:trPr>
        <w:tc>
          <w:tcPr>
            <w:vAlign w:val="center"/>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"Crown Body</w:t>
            </w:r>
            <w:r w:rsidDel="00000000" w:rsidR="00000000" w:rsidRPr="00000000">
              <w:rPr>
                <w:rFonts w:ascii="Arial" w:cs="Arial" w:eastAsia="Arial" w:hAnsi="Arial"/>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r w:rsidDel="00000000" w:rsidR="00000000" w:rsidRPr="00000000">
              <w:rPr>
                <w:rtl w:val="0"/>
              </w:rPr>
            </w:r>
          </w:p>
        </w:tc>
      </w:tr>
      <w:tr>
        <w:trPr>
          <w:cantSplit w:val="0"/>
          <w:tblHeader w:val="0"/>
        </w:trPr>
        <w:tc>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“Data Analytics Capability”</w:t>
            </w:r>
            <w:r w:rsidDel="00000000" w:rsidR="00000000" w:rsidRPr="00000000">
              <w:rPr>
                <w:rtl w:val="0"/>
              </w:rPr>
            </w:r>
          </w:p>
        </w:tc>
        <w:tc>
          <w:tcPr/>
          <w:p w:rsidR="00000000" w:rsidDel="00000000" w:rsidP="00000000" w:rsidRDefault="00000000" w:rsidRPr="00000000" w14:paraId="00000107">
            <w:pPr>
              <w:tabs>
                <w:tab w:val="left" w:leader="none" w:pos="284"/>
              </w:tabs>
              <w:spacing w:line="276" w:lineRule="auto"/>
              <w:ind w:left="284" w:right="242" w:firstLine="0"/>
              <w:rPr>
                <w:rFonts w:ascii="Arial" w:cs="Arial" w:eastAsia="Arial" w:hAnsi="Arial"/>
                <w:sz w:val="24"/>
                <w:szCs w:val="24"/>
              </w:rPr>
            </w:pPr>
            <w:r w:rsidDel="00000000" w:rsidR="00000000" w:rsidRPr="00000000">
              <w:rPr>
                <w:rFonts w:ascii="Arial" w:cs="Arial" w:eastAsia="Arial" w:hAnsi="Arial"/>
                <w:color w:val="202124"/>
                <w:sz w:val="24"/>
                <w:szCs w:val="24"/>
                <w:rtl w:val="0"/>
              </w:rPr>
              <w:t xml:space="preserve">the application of advanced analysis to discover deep insights, make predictions and generate recommendations;</w:t>
            </w:r>
            <w:r w:rsidDel="00000000" w:rsidR="00000000" w:rsidRPr="00000000">
              <w:rPr>
                <w:rtl w:val="0"/>
              </w:rPr>
            </w:r>
          </w:p>
        </w:tc>
      </w:tr>
      <w:tr>
        <w:trPr>
          <w:cantSplit w:val="0"/>
          <w:tblHeader w:val="0"/>
        </w:trPr>
        <w:tc>
          <w:tcPr/>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“Data Services”</w:t>
            </w:r>
            <w:r w:rsidDel="00000000" w:rsidR="00000000" w:rsidRPr="00000000">
              <w:rPr>
                <w:rtl w:val="0"/>
              </w:rPr>
            </w:r>
          </w:p>
        </w:tc>
        <w:tc>
          <w:tcPr/>
          <w:p w:rsidR="00000000" w:rsidDel="00000000" w:rsidP="00000000" w:rsidRDefault="00000000" w:rsidRPr="00000000" w14:paraId="00000111">
            <w:pPr>
              <w:tabs>
                <w:tab w:val="left" w:leader="none" w:pos="284"/>
              </w:tabs>
              <w:spacing w:line="276" w:lineRule="auto"/>
              <w:ind w:left="284" w:right="242" w:firstLine="0"/>
              <w:rPr>
                <w:rFonts w:ascii="Arial" w:cs="Arial" w:eastAsia="Arial" w:hAnsi="Arial"/>
                <w:color w:val="000000"/>
                <w:sz w:val="24"/>
                <w:szCs w:val="24"/>
              </w:rPr>
            </w:pPr>
            <w:r w:rsidDel="00000000" w:rsidR="00000000" w:rsidRPr="00000000">
              <w:rPr>
                <w:rFonts w:ascii="Arial" w:cs="Arial" w:eastAsia="Arial" w:hAnsi="Arial"/>
                <w:color w:val="202124"/>
                <w:sz w:val="24"/>
                <w:szCs w:val="24"/>
                <w:highlight w:val="white"/>
                <w:rtl w:val="0"/>
              </w:rPr>
              <w:t xml:space="preserve"> third-party services that help to manage data for clients;</w:t>
            </w:r>
            <w:r w:rsidDel="00000000" w:rsidR="00000000" w:rsidRPr="00000000">
              <w:rPr>
                <w:rtl w:val="0"/>
              </w:rPr>
            </w:r>
          </w:p>
        </w:tc>
      </w:tr>
      <w:tr>
        <w:trPr>
          <w:cantSplit w:val="0"/>
          <w:tblHeader w:val="0"/>
        </w:trPr>
        <w:tc>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Validation Audit”</w:t>
            </w:r>
          </w:p>
        </w:tc>
        <w:tc>
          <w:tcPr/>
          <w:p w:rsidR="00000000" w:rsidDel="00000000" w:rsidP="00000000" w:rsidRDefault="00000000" w:rsidRPr="00000000" w14:paraId="00000117">
            <w:pPr>
              <w:tabs>
                <w:tab w:val="left" w:leader="none" w:pos="284"/>
              </w:tabs>
              <w:spacing w:after="240" w:before="240" w:line="276" w:lineRule="auto"/>
              <w:ind w:left="360" w:right="24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audit on the due diligence data provided by the Buyer to ensure that potential errors, inaccuracies or omissions in the Service data issued by the outgoing Supplier are identified.</w:t>
            </w:r>
          </w:p>
        </w:tc>
      </w:tr>
      <w:tr>
        <w:trPr>
          <w:cantSplit w:val="0"/>
          <w:tblHeader w:val="0"/>
        </w:trPr>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Validation Report”</w:t>
            </w:r>
          </w:p>
        </w:tc>
        <w:tc>
          <w:tcPr/>
          <w:p w:rsidR="00000000" w:rsidDel="00000000" w:rsidP="00000000" w:rsidRDefault="00000000" w:rsidRPr="00000000" w14:paraId="00000119">
            <w:pPr>
              <w:tabs>
                <w:tab w:val="left" w:leader="none" w:pos="284"/>
              </w:tabs>
              <w:spacing w:after="240" w:before="240" w:line="276" w:lineRule="auto"/>
              <w:ind w:left="284" w:right="248"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is the report that the Supplier will produce to detail the findings and remedial action required to address any errors, inaccuracies or omissions identified in the “Data Validation Audit” where revisions to the Service data may, where agreed with the Buyer, necessitate revisions to the “Services” and/or “Charges” to ensure compliance with the Buyer’s statutory and/or insurance obligations;</w:t>
            </w:r>
          </w:p>
        </w:tc>
      </w:tr>
      <w:tr>
        <w:trPr>
          <w:cantSplit w:val="0"/>
          <w:tblHeader w:val="0"/>
        </w:trPr>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“Datix”</w:t>
            </w:r>
          </w:p>
        </w:tc>
        <w:tc>
          <w:tcPr/>
          <w:p w:rsidR="00000000" w:rsidDel="00000000" w:rsidP="00000000" w:rsidRDefault="00000000" w:rsidRPr="00000000" w14:paraId="0000011B">
            <w:pPr>
              <w:tabs>
                <w:tab w:val="left" w:leader="none" w:pos="284"/>
              </w:tabs>
              <w:spacing w:line="276" w:lineRule="auto"/>
              <w:ind w:left="284" w:right="2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 electronic incident reporting system used across the NHS.</w:t>
            </w:r>
          </w:p>
        </w:tc>
      </w:tr>
      <w:tr>
        <w:trPr>
          <w:cantSplit w:val="0"/>
          <w:tblHeader w:val="0"/>
        </w:trPr>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“DBS”</w:t>
            </w:r>
            <w:r w:rsidDel="00000000" w:rsidR="00000000" w:rsidRPr="00000000">
              <w:rPr>
                <w:rtl w:val="0"/>
              </w:rPr>
            </w:r>
          </w:p>
        </w:tc>
        <w:tc>
          <w:tcPr/>
          <w:p w:rsidR="00000000" w:rsidDel="00000000" w:rsidP="00000000" w:rsidRDefault="00000000" w:rsidRPr="00000000" w14:paraId="0000011D">
            <w:pPr>
              <w:tabs>
                <w:tab w:val="left" w:leader="none" w:pos="284"/>
              </w:tabs>
              <w:spacing w:line="276" w:lineRule="auto"/>
              <w:ind w:left="284" w:right="24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Disclosure and Barring Service;</w:t>
            </w:r>
            <w:r w:rsidDel="00000000" w:rsidR="00000000" w:rsidRPr="00000000">
              <w:rPr>
                <w:rtl w:val="0"/>
              </w:rPr>
            </w:r>
          </w:p>
        </w:tc>
      </w:tr>
      <w:tr>
        <w:trPr>
          <w:cantSplit w:val="0"/>
          <w:tblHeader w:val="0"/>
        </w:trPr>
        <w:tc>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Mobilisation Plan;</w:t>
            </w:r>
          </w:p>
        </w:tc>
      </w:tr>
      <w:tr>
        <w:trPr>
          <w:cantSplit w:val="0"/>
          <w:tblHeader w:val="0"/>
        </w:trPr>
        <w:tc>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the either (a) confirmation in writing to the Supplier; or (b) where Call-Off Schedule 13 (Mobilisation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“Dependent Parent Undertaking”</w:t>
            </w:r>
          </w:p>
        </w:tc>
        <w:tc>
          <w:tcPr/>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bookmarkStart w:colFirst="0" w:colLast="0" w:name="_heading=h.tyjcwt" w:id="3"/>
            <w:bookmarkEnd w:id="3"/>
            <w:r w:rsidDel="00000000" w:rsidR="00000000" w:rsidRPr="00000000">
              <w:rPr>
                <w:rFonts w:ascii="Arial" w:cs="Arial" w:eastAsia="Arial" w:hAnsi="Arial"/>
                <w:b w:val="1"/>
                <w:color w:val="000000"/>
                <w:sz w:val="24"/>
                <w:szCs w:val="24"/>
                <w:rtl w:val="0"/>
              </w:rPr>
              <w:t xml:space="preserve">“Direct Award”</w:t>
            </w:r>
          </w:p>
        </w:tc>
        <w:tc>
          <w:tcPr>
            <w:vAlign w:val="center"/>
          </w:tcPr>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award of a Contract directly to a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upplier without the need for a Further Competition as per the process detailed in Framework Schedule 7</w:t>
            </w:r>
          </w:p>
        </w:tc>
      </w:tr>
      <w:tr>
        <w:trPr>
          <w:cantSplit w:val="0"/>
          <w:tblHeader w:val="0"/>
        </w:trPr>
        <w:tc>
          <w:tcPr>
            <w:vAlign w:val="center"/>
          </w:tcPr>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“Direct Award Process”</w:t>
            </w:r>
          </w:p>
        </w:tc>
        <w:tc>
          <w:tcPr>
            <w:vAlign w:val="center"/>
          </w:tcPr>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as described in Framework Schedule 7 – Call Off Procedure and Award Criteria.</w:t>
            </w:r>
          </w:p>
        </w:tc>
      </w:tr>
      <w:tr>
        <w:trPr>
          <w:cantSplit w:val="0"/>
          <w:tblHeader w:val="0"/>
        </w:trPr>
        <w:tc>
          <w:tcPr/>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132">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any claim, dispute or difference (whether c</w:t>
            </w:r>
            <w:r w:rsidDel="00000000" w:rsidR="00000000" w:rsidRPr="00000000">
              <w:rPr>
                <w:rFonts w:ascii="Arial" w:cs="Arial" w:eastAsia="Arial" w:hAnsi="Arial"/>
                <w:sz w:val="24"/>
                <w:szCs w:val="24"/>
                <w:rtl w:val="0"/>
              </w:rPr>
              <w:t xml:space="preserve">ontractual or non-contractual) arising out of or in connection with a Core Terms Contract or in connection with the negotiation, existence, legal validity, enforceability or termination of the Core Terms Contract, whether the alleged liability shall arise under English law or </w:t>
            </w:r>
            <w:r w:rsidDel="00000000" w:rsidR="00000000" w:rsidRPr="00000000">
              <w:rPr>
                <w:rFonts w:ascii="Arial" w:cs="Arial" w:eastAsia="Arial" w:hAnsi="Arial"/>
                <w:sz w:val="24"/>
                <w:szCs w:val="24"/>
                <w:rtl w:val="0"/>
              </w:rPr>
              <w:t xml:space="preserve">under the law of some other country and regardless of whether a particular cause of action may successfully be brought in the English courts;</w:t>
            </w:r>
            <w:r w:rsidDel="00000000" w:rsidR="00000000" w:rsidRPr="00000000">
              <w:rPr>
                <w:rtl w:val="0"/>
              </w:rPr>
            </w:r>
          </w:p>
        </w:tc>
      </w:tr>
      <w:tr>
        <w:trPr>
          <w:cantSplit w:val="0"/>
          <w:tblHeader w:val="0"/>
        </w:trPr>
        <w:tc>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138">
            <w:pPr>
              <w:numPr>
                <w:ilvl w:val="1"/>
                <w:numId w:val="29"/>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850" w:right="242" w:hanging="56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139">
            <w:pPr>
              <w:numPr>
                <w:ilvl w:val="1"/>
                <w:numId w:val="29"/>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850" w:right="242" w:hanging="56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13A">
            <w:pPr>
              <w:numPr>
                <w:ilvl w:val="1"/>
                <w:numId w:val="29"/>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850" w:right="242" w:hanging="56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vAlign w:val="center"/>
          </w:tcPr>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"Earn Back"</w:t>
            </w:r>
            <w:r w:rsidDel="00000000" w:rsidR="00000000" w:rsidRPr="00000000">
              <w:rPr>
                <w:rtl w:val="0"/>
              </w:rPr>
            </w:r>
          </w:p>
        </w:tc>
        <w:tc>
          <w:tcPr>
            <w:vAlign w:val="center"/>
          </w:tcPr>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the earn back amount as calculated in accordance with Call-Off Schedule 14 (Key Performance </w:t>
            </w:r>
            <w:r w:rsidDel="00000000" w:rsidR="00000000" w:rsidRPr="00000000">
              <w:rPr>
                <w:rFonts w:ascii="Arial" w:cs="Arial" w:eastAsia="Arial" w:hAnsi="Arial"/>
                <w:sz w:val="24"/>
                <w:szCs w:val="24"/>
                <w:rtl w:val="0"/>
              </w:rPr>
              <w:t xml:space="preserve">Indicators</w:t>
            </w:r>
            <w:r w:rsidDel="00000000" w:rsidR="00000000" w:rsidRPr="00000000">
              <w:rPr>
                <w:rFonts w:ascii="Arial" w:cs="Arial" w:eastAsia="Arial" w:hAnsi="Arial"/>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14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“Electronic Reverse Auction”</w:t>
            </w:r>
            <w:r w:rsidDel="00000000" w:rsidR="00000000" w:rsidRPr="00000000">
              <w:rPr>
                <w:rtl w:val="0"/>
              </w:rPr>
            </w:r>
          </w:p>
        </w:tc>
        <w:tc>
          <w:tcPr/>
          <w:p w:rsidR="00000000" w:rsidDel="00000000" w:rsidP="00000000" w:rsidRDefault="00000000" w:rsidRPr="00000000" w14:paraId="0000014A">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 auction, where Suppliers compete in real time by bidding as the auction unfolds as described within Framework Schedule 7 - Call Off Award Procedure.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"Employer Pension Contribution Cap"</w:t>
            </w:r>
            <w:r w:rsidDel="00000000" w:rsidR="00000000" w:rsidRPr="00000000">
              <w:rPr>
                <w:rtl w:val="0"/>
              </w:rPr>
            </w:r>
          </w:p>
        </w:tc>
        <w:tc>
          <w:tcPr>
            <w:vAlign w:val="center"/>
          </w:tcPr>
          <w:p w:rsidR="00000000" w:rsidDel="00000000" w:rsidP="00000000" w:rsidRDefault="00000000" w:rsidRPr="00000000" w14:paraId="0000014C">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6% maximum rate of employer pension contribution used in the calculation of the TUPE Risk Premium;</w:t>
            </w:r>
            <w:r w:rsidDel="00000000" w:rsidR="00000000" w:rsidRPr="00000000">
              <w:rPr>
                <w:rtl w:val="0"/>
              </w:rPr>
            </w:r>
          </w:p>
        </w:tc>
      </w:tr>
      <w:tr>
        <w:trPr>
          <w:cantSplit w:val="0"/>
          <w:tblHeader w:val="0"/>
        </w:trPr>
        <w:tc>
          <w:tcPr/>
          <w:p w:rsidR="00000000" w:rsidDel="00000000" w:rsidP="00000000" w:rsidRDefault="00000000" w:rsidRPr="00000000" w14:paraId="0000014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14E">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151">
            <w:pPr>
              <w:numPr>
                <w:ilvl w:val="1"/>
                <w:numId w:val="2"/>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152">
            <w:pPr>
              <w:numPr>
                <w:ilvl w:val="1"/>
                <w:numId w:val="2"/>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15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“English Heritage”</w:t>
            </w:r>
            <w:r w:rsidDel="00000000" w:rsidR="00000000" w:rsidRPr="00000000">
              <w:rPr>
                <w:rtl w:val="0"/>
              </w:rPr>
            </w:r>
          </w:p>
        </w:tc>
        <w:tc>
          <w:tcPr/>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 organisation, partly funded by government aid, that looks after ancient monuments and historic buildings in England</w:t>
            </w:r>
            <w:r w:rsidDel="00000000" w:rsidR="00000000" w:rsidRPr="00000000">
              <w:rPr>
                <w:rtl w:val="0"/>
              </w:rPr>
            </w:r>
          </w:p>
        </w:tc>
      </w:tr>
      <w:tr>
        <w:trPr>
          <w:cantSplit w:val="0"/>
          <w:tblHeader w:val="0"/>
        </w:trPr>
        <w:tc>
          <w:tcPr/>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156">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“ERP”</w:t>
            </w:r>
            <w:r w:rsidDel="00000000" w:rsidR="00000000" w:rsidRPr="00000000">
              <w:rPr>
                <w:rtl w:val="0"/>
              </w:rPr>
            </w:r>
          </w:p>
        </w:tc>
        <w:tc>
          <w:tcPr/>
          <w:p w:rsidR="00000000" w:rsidDel="00000000" w:rsidP="00000000" w:rsidRDefault="00000000" w:rsidRPr="00000000" w14:paraId="0000015A">
            <w:pPr>
              <w:tabs>
                <w:tab w:val="left" w:leader="none" w:pos="284"/>
              </w:tabs>
              <w:spacing w:line="276" w:lineRule="auto"/>
              <w:ind w:left="284" w:right="24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Enterprise Resource Planning</w:t>
            </w:r>
            <w:r w:rsidDel="00000000" w:rsidR="00000000" w:rsidRPr="00000000">
              <w:rPr>
                <w:rtl w:val="0"/>
              </w:rPr>
            </w:r>
          </w:p>
        </w:tc>
      </w:tr>
      <w:tr>
        <w:trPr>
          <w:cantSplit w:val="0"/>
          <w:trHeight w:val="1350" w:hRule="atLeast"/>
          <w:tblHeader w:val="0"/>
        </w:trPr>
        <w:tc>
          <w:tcPr/>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15E">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2"/>
        <w:tblW w:w="10044.0" w:type="dxa"/>
        <w:jc w:val="left"/>
        <w:tblInd w:w="-29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4"/>
        <w:gridCol w:w="7350"/>
        <w:tblGridChange w:id="0">
          <w:tblGrid>
            <w:gridCol w:w="2694"/>
            <w:gridCol w:w="7350"/>
          </w:tblGrid>
        </w:tblGridChange>
      </w:tblGrid>
      <w:tr>
        <w:trPr>
          <w:cantSplit w:val="0"/>
          <w:trHeight w:val="1170"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Annual Contract Cost”</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leader="none" w:pos="-179"/>
              </w:tabs>
              <w:spacing w:after="120" w:lineRule="auto"/>
              <w:ind w:left="174" w:right="15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color w:val="000000"/>
                <w:sz w:val="24"/>
                <w:szCs w:val="24"/>
                <w:rtl w:val="0"/>
              </w:rPr>
              <w:t xml:space="preserve">estimated annual value of the Call Off Contract (including Billable Works) provided by the Buyer</w:t>
            </w:r>
            <w:r w:rsidDel="00000000" w:rsidR="00000000" w:rsidRPr="00000000">
              <w:rPr>
                <w:rFonts w:ascii="Arial" w:cs="Arial" w:eastAsia="Arial" w:hAnsi="Arial"/>
                <w:sz w:val="24"/>
                <w:szCs w:val="24"/>
                <w:rtl w:val="0"/>
              </w:rPr>
              <w:t xml:space="preserve">.</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leader="none" w:pos="-179"/>
              </w:tabs>
              <w:spacing w:after="120" w:lineRule="auto"/>
              <w:ind w:left="174" w:right="15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calculating each Party’s annual liability under clause 12.2 :</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179"/>
              </w:tabs>
              <w:spacing w:after="120" w:lineRule="auto"/>
              <w:ind w:left="992" w:right="152" w:hanging="70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179"/>
              </w:tabs>
              <w:spacing w:after="120" w:lineRule="auto"/>
              <w:ind w:left="992" w:right="152" w:hanging="70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leader="none" w:pos="-179"/>
              </w:tabs>
              <w:spacing w:after="120" w:lineRule="auto"/>
              <w:ind w:left="992" w:right="152" w:hanging="70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after the end of the Call-off Contract, the Charges paid or payable in the last Contract Year during the Call-off Contract Period;  </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166">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“Ethical Wall”</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leader="none" w:pos="-179"/>
              </w:tabs>
              <w:spacing w:after="120" w:lineRule="auto"/>
              <w:ind w:left="174" w:right="152" w:firstLine="0"/>
              <w:jc w:val="both"/>
              <w:rPr>
                <w:rFonts w:ascii="Arial" w:cs="Arial" w:eastAsia="Arial" w:hAnsi="Arial"/>
                <w:sz w:val="24"/>
                <w:szCs w:val="24"/>
              </w:rPr>
            </w:pPr>
            <w:bookmarkStart w:colFirst="0" w:colLast="0" w:name="_heading=h.3dy6vkm" w:id="4"/>
            <w:bookmarkEnd w:id="4"/>
            <w:r w:rsidDel="00000000" w:rsidR="00000000" w:rsidRPr="00000000">
              <w:rPr>
                <w:rFonts w:ascii="Arial" w:cs="Arial" w:eastAsia="Arial" w:hAnsi="Arial"/>
                <w:sz w:val="24"/>
                <w:szCs w:val="24"/>
                <w:rtl w:val="0"/>
              </w:rPr>
              <w:t xml:space="preserve">a method of preventing information from being shared or communicated to avoid conflicts of interests within the Supplier’s organisation in line with Core Terms 32.1 and as referenced within Call-Off Schedule 25 – Billable Works and Projects;</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16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"Exclusive Assets"</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leader="none" w:pos="-179"/>
              </w:tabs>
              <w:spacing w:after="120" w:lineRule="auto"/>
              <w:ind w:left="174" w:right="15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Supplier Assets used exclusively by the Supplier or a Key Subcontractor in the provision of the Deliverables;</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6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Buyer”</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6B">
            <w:pPr>
              <w:pBdr>
                <w:top w:space="0" w:sz="0" w:val="nil"/>
                <w:left w:space="0" w:sz="0" w:val="nil"/>
                <w:bottom w:space="0" w:sz="0" w:val="nil"/>
                <w:right w:space="0" w:sz="0" w:val="nil"/>
                <w:between w:space="0" w:sz="0" w:val="nil"/>
              </w:pBdr>
              <w:ind w:left="174" w:right="15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public sector purchaser that is:</w:t>
            </w:r>
          </w:p>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4" w:right="152"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eligible to use the Framework Contract; and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16D">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992" w:right="152" w:hanging="70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Regulations;</w:t>
            </w:r>
            <w:r w:rsidDel="00000000" w:rsidR="00000000" w:rsidRPr="00000000">
              <w:rPr>
                <w:rtl w:val="0"/>
              </w:rPr>
            </w:r>
          </w:p>
          <w:p w:rsidR="00000000" w:rsidDel="00000000" w:rsidP="00000000" w:rsidRDefault="00000000" w:rsidRPr="00000000" w14:paraId="0000016E">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992" w:right="152" w:hanging="70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Concession Contracts Regulations 2016 (SI 2016/273);</w:t>
            </w:r>
            <w:r w:rsidDel="00000000" w:rsidR="00000000" w:rsidRPr="00000000">
              <w:rPr>
                <w:rtl w:val="0"/>
              </w:rPr>
            </w:r>
          </w:p>
          <w:p w:rsidR="00000000" w:rsidDel="00000000" w:rsidP="00000000" w:rsidRDefault="00000000" w:rsidRPr="00000000" w14:paraId="0000016F">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992" w:right="152" w:hanging="70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Utilities Contracts Regulations 2016 (SI 2016/274);</w:t>
            </w:r>
            <w:r w:rsidDel="00000000" w:rsidR="00000000" w:rsidRPr="00000000">
              <w:rPr>
                <w:rtl w:val="0"/>
              </w:rPr>
            </w:r>
          </w:p>
          <w:p w:rsidR="00000000" w:rsidDel="00000000" w:rsidP="00000000" w:rsidRDefault="00000000" w:rsidRPr="00000000" w14:paraId="00000170">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992" w:right="152" w:hanging="70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171">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992" w:right="152" w:hanging="70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Remedies Directive (2007/66/EC);</w:t>
            </w:r>
            <w:r w:rsidDel="00000000" w:rsidR="00000000" w:rsidRPr="00000000">
              <w:rPr>
                <w:rtl w:val="0"/>
              </w:rPr>
            </w:r>
          </w:p>
          <w:p w:rsidR="00000000" w:rsidDel="00000000" w:rsidP="00000000" w:rsidRDefault="00000000" w:rsidRPr="00000000" w14:paraId="00000172">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992" w:right="152" w:hanging="70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173">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992" w:right="152" w:hanging="70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174">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992" w:right="152" w:hanging="70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175">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992" w:right="152" w:hanging="70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2009/81/EC of the European Parliament and Council;</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Call-Off Contract”</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77">
            <w:pPr>
              <w:pBdr>
                <w:top w:space="0" w:sz="0" w:val="nil"/>
                <w:left w:space="0" w:sz="0" w:val="nil"/>
                <w:bottom w:space="0" w:sz="0" w:val="nil"/>
                <w:right w:space="0" w:sz="0" w:val="nil"/>
                <w:between w:space="0" w:sz="0" w:val="nil"/>
              </w:pBdr>
              <w:ind w:left="174" w:right="15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rHeight w:val="1442"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7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Procurement Amendments”</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79">
            <w:pPr>
              <w:pBdr>
                <w:top w:space="0" w:sz="0" w:val="nil"/>
                <w:left w:space="0" w:sz="0" w:val="nil"/>
                <w:bottom w:space="0" w:sz="0" w:val="nil"/>
                <w:right w:space="0" w:sz="0" w:val="nil"/>
                <w:between w:space="0" w:sz="0" w:val="nil"/>
              </w:pBdr>
              <w:ind w:left="174" w:right="152" w:firstLine="0"/>
              <w:jc w:val="both"/>
              <w:rPr>
                <w:rFonts w:ascii="Arial" w:cs="Arial" w:eastAsia="Arial" w:hAnsi="Arial"/>
                <w:color w:val="000000"/>
                <w:sz w:val="24"/>
                <w:szCs w:val="24"/>
              </w:rPr>
            </w:pPr>
            <w:bookmarkStart w:colFirst="0" w:colLast="0" w:name="_heading=h.1t3h5sf" w:id="5"/>
            <w:bookmarkEnd w:id="5"/>
            <w:r w:rsidDel="00000000" w:rsidR="00000000" w:rsidRPr="00000000">
              <w:rPr>
                <w:rFonts w:ascii="Arial" w:cs="Arial" w:eastAsia="Arial" w:hAnsi="Arial"/>
                <w:color w:val="000000"/>
                <w:sz w:val="24"/>
                <w:szCs w:val="24"/>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17A">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3"/>
        <w:tblW w:w="10065.0"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4"/>
        <w:gridCol w:w="7371"/>
        <w:tblGridChange w:id="0">
          <w:tblGrid>
            <w:gridCol w:w="2694"/>
            <w:gridCol w:w="7371"/>
          </w:tblGrid>
        </w:tblGridChange>
      </w:tblGrid>
      <w:tr>
        <w:trPr>
          <w:cantSplit w:val="0"/>
          <w:tblHeader w:val="0"/>
        </w:trPr>
        <w:tc>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"Existing Service"</w:t>
            </w:r>
            <w:r w:rsidDel="00000000" w:rsidR="00000000" w:rsidRPr="00000000">
              <w:rPr>
                <w:rtl w:val="0"/>
              </w:rPr>
            </w:r>
          </w:p>
        </w:tc>
        <w:tc>
          <w:tcPr/>
          <w:p w:rsidR="00000000" w:rsidDel="00000000" w:rsidP="00000000" w:rsidRDefault="00000000" w:rsidRPr="00000000" w14:paraId="0000017E">
            <w:pPr>
              <w:tabs>
                <w:tab w:val="left" w:leader="none" w:pos="284"/>
              </w:tabs>
              <w:spacing w:line="276" w:lineRule="auto"/>
              <w:ind w:left="284" w:righ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service that is already being provided either in-house or outsourced;</w:t>
            </w:r>
          </w:p>
        </w:tc>
      </w:tr>
      <w:tr>
        <w:trPr>
          <w:cantSplit w:val="0"/>
          <w:tblHeader w:val="0"/>
        </w:trPr>
        <w:tc>
          <w:tcPr/>
          <w:p w:rsidR="00000000" w:rsidDel="00000000" w:rsidP="00000000" w:rsidRDefault="00000000" w:rsidRPr="00000000" w14:paraId="0000017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w:t>
            </w:r>
          </w:p>
        </w:tc>
        <w:tc>
          <w:tcPr/>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leader="none" w:pos="-179"/>
                <w:tab w:val="left" w:leader="none" w:pos="284"/>
              </w:tabs>
              <w:spacing w:after="120" w:lineRule="auto"/>
              <w:ind w:right="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either:</w:t>
            </w:r>
          </w:p>
          <w:p w:rsidR="00000000" w:rsidDel="00000000" w:rsidP="00000000" w:rsidRDefault="00000000" w:rsidRPr="00000000" w14:paraId="00000185">
            <w:pPr>
              <w:numPr>
                <w:ilvl w:val="1"/>
                <w:numId w:val="26"/>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credit rating of the Supplier, any Guarantor or any Key Subcontractor drops below Credit Rating Threshold of the relevant Rating Agency;</w:t>
            </w:r>
          </w:p>
          <w:p w:rsidR="00000000" w:rsidDel="00000000" w:rsidP="00000000" w:rsidRDefault="00000000" w:rsidRPr="00000000" w14:paraId="00000186">
            <w:pPr>
              <w:numPr>
                <w:ilvl w:val="1"/>
                <w:numId w:val="26"/>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any Guarantor or any Key Subcontractor issues a profits warning to a stock exchange or makes any other public announcement, in each case about a material deterioration in its financial position or prospects;</w:t>
            </w:r>
          </w:p>
          <w:p w:rsidR="00000000" w:rsidDel="00000000" w:rsidP="00000000" w:rsidRDefault="00000000" w:rsidRPr="00000000" w14:paraId="00000187">
            <w:pPr>
              <w:numPr>
                <w:ilvl w:val="1"/>
                <w:numId w:val="26"/>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the Supplier, any Guarantor or any Key Subcontractor;</w:t>
            </w:r>
          </w:p>
          <w:p w:rsidR="00000000" w:rsidDel="00000000" w:rsidP="00000000" w:rsidRDefault="00000000" w:rsidRPr="00000000" w14:paraId="00000188">
            <w:pPr>
              <w:numPr>
                <w:ilvl w:val="1"/>
                <w:numId w:val="26"/>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any Guarantor or any Key Subcontractor commits a material breach of covenant to its lenders;</w:t>
            </w:r>
          </w:p>
          <w:p w:rsidR="00000000" w:rsidDel="00000000" w:rsidP="00000000" w:rsidRDefault="00000000" w:rsidRPr="00000000" w14:paraId="00000189">
            <w:pPr>
              <w:numPr>
                <w:ilvl w:val="1"/>
                <w:numId w:val="26"/>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Key Subcontractor notifies the Relevant Authority that the Supplier has not paid any material sums properly due under a specified invoice and not subject to a genuine dispute; or</w:t>
            </w:r>
          </w:p>
          <w:p w:rsidR="00000000" w:rsidDel="00000000" w:rsidP="00000000" w:rsidRDefault="00000000" w:rsidRPr="00000000" w14:paraId="0000018A">
            <w:pPr>
              <w:numPr>
                <w:ilvl w:val="1"/>
                <w:numId w:val="26"/>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 in respect of the Supplier, any Guarantor or any Key Subcontractor: (i) commencement of any litigation with respect to financial indebtedness greater than £5m or obligations under a service contract with a total contract value greater than £5m; ii) non-payment of any financial indebtedness; iii) any financial indebtedness becoming due as a result of an event of default; iv) the cancellation or suspension of any financial indebtedness or v) an external auditor expressing a qualified opinion on, or including an emphasis of matter in, its opinion on the statutory accounts of that entity, in each case which the Relevant Authority reasonably believes (or would be likely reasonably to believe) could directly impact on the continued provision of the Deliverables in accordance with the Contract</w:t>
            </w:r>
          </w:p>
        </w:tc>
      </w:tr>
      <w:tr>
        <w:trPr>
          <w:cantSplit w:val="0"/>
          <w:tblHeader w:val="0"/>
        </w:trPr>
        <w:tc>
          <w:tcPr/>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Reports”</w:t>
            </w:r>
          </w:p>
        </w:tc>
        <w:tc>
          <w:tcPr/>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by the Supplier to the Buyer that:</w:t>
            </w:r>
          </w:p>
          <w:p w:rsidR="00000000" w:rsidDel="00000000" w:rsidP="00000000" w:rsidRDefault="00000000" w:rsidRPr="00000000" w14:paraId="0000018D">
            <w:pPr>
              <w:numPr>
                <w:ilvl w:val="1"/>
                <w:numId w:val="15"/>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a true and fair reflection of the Costs and Supplier Profit Margin forecast by the Supplier;</w:t>
            </w:r>
          </w:p>
          <w:p w:rsidR="00000000" w:rsidDel="00000000" w:rsidP="00000000" w:rsidRDefault="00000000" w:rsidRPr="00000000" w14:paraId="0000018E">
            <w:pPr>
              <w:numPr>
                <w:ilvl w:val="1"/>
                <w:numId w:val="15"/>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a true and fair reflection of the costs and expenses to be incurred by Key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ubcontractors (as requested by the Buyer);</w:t>
            </w:r>
          </w:p>
          <w:p w:rsidR="00000000" w:rsidDel="00000000" w:rsidP="00000000" w:rsidRDefault="00000000" w:rsidRPr="00000000" w14:paraId="0000018F">
            <w:pPr>
              <w:numPr>
                <w:ilvl w:val="1"/>
                <w:numId w:val="15"/>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in the same software package (Microsoft Excel or Microsoft Word), layout and format as the blank templates which have been issued by the Buyer to the Supplier on or before the Start Date for the purposes of the Contract; and</w:t>
            </w:r>
          </w:p>
          <w:p w:rsidR="00000000" w:rsidDel="00000000" w:rsidP="00000000" w:rsidRDefault="00000000" w:rsidRPr="00000000" w14:paraId="00000190">
            <w:pPr>
              <w:numPr>
                <w:ilvl w:val="1"/>
                <w:numId w:val="15"/>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certified by the Supplier’s Chief Financial Officer or Director of Finance;</w:t>
            </w:r>
          </w:p>
        </w:tc>
      </w:tr>
      <w:tr>
        <w:trPr>
          <w:cantSplit w:val="0"/>
          <w:tblHeader w:val="0"/>
        </w:trPr>
        <w:tc>
          <w:tcPr/>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Representative”</w:t>
            </w:r>
          </w:p>
        </w:tc>
        <w:tc>
          <w:tcPr/>
          <w:p w:rsidR="00000000" w:rsidDel="00000000" w:rsidP="00000000" w:rsidRDefault="00000000" w:rsidRPr="00000000" w14:paraId="00000192">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reasonably skilled and experienced member of the Supplier Staff who has specific responsibility for preparing, maintaining, facilitating access to, discussing and explaining the records and accounts of everything to do with the Contract (as referred to in Clause 6), Financial Reports and Open Book Data;</w:t>
            </w:r>
          </w:p>
        </w:tc>
      </w:tr>
      <w:tr>
        <w:trPr>
          <w:cantSplit w:val="0"/>
          <w:tblHeader w:val="0"/>
        </w:trPr>
        <w:tc>
          <w:tcPr/>
          <w:p w:rsidR="00000000" w:rsidDel="00000000" w:rsidP="00000000" w:rsidRDefault="00000000" w:rsidRPr="00000000" w14:paraId="0000019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Transparency Objectives”</w:t>
            </w:r>
          </w:p>
        </w:tc>
        <w:tc>
          <w:tcPr/>
          <w:p w:rsidR="00000000" w:rsidDel="00000000" w:rsidP="00000000" w:rsidRDefault="00000000" w:rsidRPr="00000000" w14:paraId="00000194">
            <w:pPr>
              <w:numPr>
                <w:ilvl w:val="1"/>
                <w:numId w:val="4"/>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having a clear analysis of the Costs, Overhead recoveries (where relevant), time spent by Supplier Staff in providing the Services and Supplier Profit Margin so that it can understand any payment sought by the Supplier;</w:t>
            </w:r>
          </w:p>
          <w:p w:rsidR="00000000" w:rsidDel="00000000" w:rsidP="00000000" w:rsidRDefault="00000000" w:rsidRPr="00000000" w14:paraId="00000195">
            <w:pPr>
              <w:numPr>
                <w:ilvl w:val="1"/>
                <w:numId w:val="4"/>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being able to understand Costs forecasts and to have confidence that these are based on justifiable numbers and appropriate forecasting techniques;</w:t>
            </w:r>
          </w:p>
          <w:p w:rsidR="00000000" w:rsidDel="00000000" w:rsidP="00000000" w:rsidRDefault="00000000" w:rsidRPr="00000000" w14:paraId="00000196">
            <w:pPr>
              <w:numPr>
                <w:ilvl w:val="1"/>
                <w:numId w:val="4"/>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being able to understand the quantitative impact of any Variations that affect ongoing Costs and identifying how these could be mitigated and/or reflected in the Charges;</w:t>
            </w:r>
          </w:p>
          <w:p w:rsidR="00000000" w:rsidDel="00000000" w:rsidP="00000000" w:rsidRDefault="00000000" w:rsidRPr="00000000" w14:paraId="00000197">
            <w:pPr>
              <w:numPr>
                <w:ilvl w:val="1"/>
                <w:numId w:val="4"/>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being able to review, address issues with and re-forecast progress in relation to the provision of the Services;</w:t>
            </w:r>
          </w:p>
          <w:p w:rsidR="00000000" w:rsidDel="00000000" w:rsidP="00000000" w:rsidRDefault="00000000" w:rsidRPr="00000000" w14:paraId="00000198">
            <w:pPr>
              <w:numPr>
                <w:ilvl w:val="1"/>
                <w:numId w:val="4"/>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challenging each other with ideas for efficiency and improvements; and</w:t>
            </w:r>
          </w:p>
          <w:p w:rsidR="00000000" w:rsidDel="00000000" w:rsidP="00000000" w:rsidRDefault="00000000" w:rsidRPr="00000000" w14:paraId="00000199">
            <w:pPr>
              <w:numPr>
                <w:ilvl w:val="1"/>
                <w:numId w:val="4"/>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enabling the Buyer to demonstrate that it is achieving value for money for the </w:t>
            </w:r>
            <w:r w:rsidDel="00000000" w:rsidR="00000000" w:rsidRPr="00000000">
              <w:rPr>
                <w:rFonts w:ascii="Arial" w:cs="Arial" w:eastAsia="Arial" w:hAnsi="Arial"/>
                <w:sz w:val="24"/>
                <w:szCs w:val="24"/>
                <w:rtl w:val="0"/>
              </w:rPr>
              <w:t xml:space="preserve">taxpayer</w:t>
            </w:r>
            <w:r w:rsidDel="00000000" w:rsidR="00000000" w:rsidRPr="00000000">
              <w:rPr>
                <w:rFonts w:ascii="Arial" w:cs="Arial" w:eastAsia="Arial" w:hAnsi="Arial"/>
                <w:color w:val="000000"/>
                <w:sz w:val="24"/>
                <w:szCs w:val="24"/>
                <w:rtl w:val="0"/>
              </w:rPr>
              <w:t xml:space="preserve"> relative to current market prices;</w:t>
            </w:r>
          </w:p>
        </w:tc>
      </w:tr>
      <w:tr>
        <w:trPr>
          <w:cantSplit w:val="0"/>
          <w:tblHeader w:val="0"/>
        </w:trPr>
        <w:tc>
          <w:tcPr>
            <w:vAlign w:val="center"/>
          </w:tcPr>
          <w:p w:rsidR="00000000" w:rsidDel="00000000" w:rsidP="00000000" w:rsidRDefault="00000000" w:rsidRPr="00000000" w14:paraId="0000019A">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“Fixed Fee Pricing Matrix”</w:t>
            </w:r>
          </w:p>
        </w:tc>
        <w:tc>
          <w:tcPr>
            <w:vAlign w:val="center"/>
          </w:tcPr>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spreadsheet setting out details of the Fixed Fee prices which is set out in the Order Form and will be provided by the Buyer at Further Competition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highlight w:val="cyan"/>
              </w:rPr>
            </w:pPr>
            <w:r w:rsidDel="00000000" w:rsidR="00000000" w:rsidRPr="00000000">
              <w:rPr>
                <w:rFonts w:ascii="Arial" w:cs="Arial" w:eastAsia="Arial" w:hAnsi="Arial"/>
                <w:b w:val="1"/>
                <w:sz w:val="24"/>
                <w:szCs w:val="24"/>
                <w:rtl w:val="0"/>
              </w:rPr>
              <w:t xml:space="preserve">"Fixed Fee TUPE Risk Premium"</w:t>
            </w:r>
            <w:r w:rsidDel="00000000" w:rsidR="00000000" w:rsidRPr="00000000">
              <w:rPr>
                <w:rtl w:val="0"/>
              </w:rPr>
            </w:r>
          </w:p>
        </w:tc>
        <w:tc>
          <w:tcPr>
            <w:vAlign w:val="center"/>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payable  on an annual basis based on the difference between:</w:t>
            </w:r>
          </w:p>
          <w:p w:rsidR="00000000" w:rsidDel="00000000" w:rsidP="00000000" w:rsidRDefault="00000000" w:rsidRPr="00000000" w14:paraId="0000019E">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19F">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the equivalent costs to employ staff used by the Supplier at Further Competition,</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in respect of payments due under contracts of employment in respect of the following: </w:t>
            </w:r>
          </w:p>
          <w:p w:rsidR="00000000" w:rsidDel="00000000" w:rsidP="00000000" w:rsidRDefault="00000000" w:rsidRPr="00000000" w14:paraId="000001A0">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17" w:right="14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annual salary;</w:t>
            </w:r>
          </w:p>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17" w:right="141" w:hanging="708"/>
              <w:rPr>
                <w:rFonts w:ascii="Arial" w:cs="Arial" w:eastAsia="Arial" w:hAnsi="Arial"/>
                <w:color w:val="000000"/>
                <w:sz w:val="24"/>
                <w:szCs w:val="24"/>
              </w:rPr>
            </w:pPr>
            <w:bookmarkStart w:colFirst="0" w:colLast="0" w:name="_heading=h.4d34og8" w:id="6"/>
            <w:bookmarkEnd w:id="6"/>
            <w:r w:rsidDel="00000000" w:rsidR="00000000" w:rsidRPr="00000000">
              <w:rPr>
                <w:rFonts w:ascii="Arial" w:cs="Arial" w:eastAsia="Arial" w:hAnsi="Arial"/>
                <w:color w:val="000000"/>
                <w:sz w:val="24"/>
                <w:szCs w:val="24"/>
                <w:rtl w:val="0"/>
              </w:rPr>
              <w:t xml:space="preserve">ii)</w:t>
              <w:tab/>
              <w:t xml:space="preserve">annual national insurance cost;</w:t>
            </w:r>
          </w:p>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17" w:right="14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w:t>
              <w:tab/>
              <w:t xml:space="preserve">Annual Pension Cost;</w:t>
            </w:r>
          </w:p>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17" w:right="14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w:t>
              <w:tab/>
              <w:t xml:space="preserve">annual life insurance cost;</w:t>
            </w:r>
          </w:p>
          <w:p w:rsidR="00000000" w:rsidDel="00000000" w:rsidP="00000000" w:rsidRDefault="00000000" w:rsidRPr="00000000" w14:paraId="000001A4">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17" w:right="14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w:t>
              <w:tab/>
              <w:t xml:space="preserve">annual sick pay entitlement;</w:t>
            </w:r>
          </w:p>
          <w:p w:rsidR="00000000" w:rsidDel="00000000" w:rsidP="00000000" w:rsidRDefault="00000000" w:rsidRPr="00000000" w14:paraId="000001A5">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17" w:right="14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w:t>
              <w:tab/>
              <w:t xml:space="preserve">maternity/paternity costs; and</w:t>
            </w:r>
          </w:p>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17" w:right="14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vii)</w:t>
              <w:tab/>
              <w:t xml:space="preserve">any other cost arising directly from the contract of employment of the Transferring Former Supplier Employee and or Transferring Buyer Employee, as set out in paragraph 2 of Call Off Schedule 28 (TUPE Surcharge);</w:t>
            </w:r>
          </w:p>
          <w:p w:rsidR="00000000" w:rsidDel="00000000" w:rsidP="00000000" w:rsidRDefault="00000000" w:rsidRPr="00000000" w14:paraId="000001A7">
            <w:pPr>
              <w:pBdr>
                <w:top w:space="0" w:sz="0" w:val="nil"/>
                <w:left w:space="0" w:sz="0" w:val="nil"/>
                <w:bottom w:space="0" w:sz="0" w:val="nil"/>
                <w:right w:space="0" w:sz="0" w:val="nil"/>
                <w:between w:space="0" w:sz="0" w:val="nil"/>
              </w:pBdr>
              <w:tabs>
                <w:tab w:val="left" w:leader="none" w:pos="-179"/>
                <w:tab w:val="left" w:leader="none" w:pos="284"/>
              </w:tabs>
              <w:spacing w:after="120" w:lineRule="auto"/>
              <w:ind w:right="141"/>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A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“Flexible Working”</w:t>
            </w:r>
            <w:r w:rsidDel="00000000" w:rsidR="00000000" w:rsidRPr="00000000">
              <w:rPr>
                <w:rtl w:val="0"/>
              </w:rPr>
            </w:r>
          </w:p>
        </w:tc>
        <w:tc>
          <w:tcPr/>
          <w:p w:rsidR="00000000" w:rsidDel="00000000" w:rsidP="00000000" w:rsidRDefault="00000000" w:rsidRPr="00000000" w14:paraId="000001A9">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also known as flextime or flexitime, refers to non-traditional working arrangements that take into account an individual's personal needs</w:t>
            </w:r>
          </w:p>
        </w:tc>
      </w:tr>
      <w:tr>
        <w:trPr>
          <w:cantSplit w:val="0"/>
          <w:tblHeader w:val="0"/>
        </w:trPr>
        <w:tc>
          <w:tcPr/>
          <w:p w:rsidR="00000000" w:rsidDel="00000000" w:rsidP="00000000" w:rsidRDefault="00000000" w:rsidRPr="00000000" w14:paraId="000001A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AB">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A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AD">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AE">
            <w:pPr>
              <w:numPr>
                <w:ilvl w:val="1"/>
                <w:numId w:val="7"/>
              </w:numPr>
              <w:pBdr>
                <w:top w:space="0" w:sz="0" w:val="nil"/>
                <w:left w:space="0" w:sz="0" w:val="nil"/>
                <w:bottom w:space="0" w:sz="0" w:val="nil"/>
                <w:right w:space="0" w:sz="0" w:val="nil"/>
                <w:between w:space="0" w:sz="0" w:val="nil"/>
              </w:pBdr>
              <w:tabs>
                <w:tab w:val="left" w:leader="none" w:pos="-576"/>
                <w:tab w:val="left" w:leader="none" w:pos="144"/>
                <w:tab w:val="left" w:leader="none" w:pos="1125"/>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AF">
            <w:pPr>
              <w:numPr>
                <w:ilvl w:val="1"/>
                <w:numId w:val="7"/>
              </w:numPr>
              <w:pBdr>
                <w:top w:space="0" w:sz="0" w:val="nil"/>
                <w:left w:space="0" w:sz="0" w:val="nil"/>
                <w:bottom w:space="0" w:sz="0" w:val="nil"/>
                <w:right w:space="0" w:sz="0" w:val="nil"/>
                <w:between w:space="0" w:sz="0" w:val="nil"/>
              </w:pBdr>
              <w:tabs>
                <w:tab w:val="left" w:leader="none" w:pos="-576"/>
                <w:tab w:val="left" w:leader="none" w:pos="144"/>
                <w:tab w:val="left" w:leader="none" w:pos="1125"/>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B0">
            <w:pPr>
              <w:numPr>
                <w:ilvl w:val="1"/>
                <w:numId w:val="7"/>
              </w:numPr>
              <w:pBdr>
                <w:top w:space="0" w:sz="0" w:val="nil"/>
                <w:left w:space="0" w:sz="0" w:val="nil"/>
                <w:bottom w:space="0" w:sz="0" w:val="nil"/>
                <w:right w:space="0" w:sz="0" w:val="nil"/>
                <w:between w:space="0" w:sz="0" w:val="nil"/>
              </w:pBdr>
              <w:tabs>
                <w:tab w:val="left" w:leader="none" w:pos="-576"/>
                <w:tab w:val="left" w:leader="none" w:pos="144"/>
                <w:tab w:val="left" w:leader="none" w:pos="1125"/>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B1">
            <w:pPr>
              <w:numPr>
                <w:ilvl w:val="1"/>
                <w:numId w:val="7"/>
              </w:numPr>
              <w:pBdr>
                <w:top w:space="0" w:sz="0" w:val="nil"/>
                <w:left w:space="0" w:sz="0" w:val="nil"/>
                <w:bottom w:space="0" w:sz="0" w:val="nil"/>
                <w:right w:space="0" w:sz="0" w:val="nil"/>
                <w:between w:space="0" w:sz="0" w:val="nil"/>
              </w:pBdr>
              <w:tabs>
                <w:tab w:val="left" w:leader="none" w:pos="-576"/>
                <w:tab w:val="left" w:leader="none" w:pos="144"/>
                <w:tab w:val="left" w:leader="none" w:pos="1125"/>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B2">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B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B4">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vAlign w:val="center"/>
          </w:tcPr>
          <w:p w:rsidR="00000000" w:rsidDel="00000000" w:rsidP="00000000" w:rsidRDefault="00000000" w:rsidRPr="00000000" w14:paraId="000001B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"Former Supplier"</w:t>
            </w:r>
            <w:r w:rsidDel="00000000" w:rsidR="00000000" w:rsidRPr="00000000">
              <w:rPr>
                <w:rtl w:val="0"/>
              </w:rPr>
            </w:r>
          </w:p>
        </w:tc>
        <w:tc>
          <w:tcPr>
            <w:vAlign w:val="center"/>
          </w:tcPr>
          <w:p w:rsidR="00000000" w:rsidDel="00000000" w:rsidP="00000000" w:rsidRDefault="00000000" w:rsidRPr="00000000" w14:paraId="000001B6">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B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“Forward Maintenance Register”</w:t>
            </w:r>
            <w:r w:rsidDel="00000000" w:rsidR="00000000" w:rsidRPr="00000000">
              <w:rPr>
                <w:rtl w:val="0"/>
              </w:rPr>
            </w:r>
          </w:p>
        </w:tc>
        <w:tc>
          <w:tcPr>
            <w:vAlign w:val="center"/>
          </w:tcPr>
          <w:p w:rsidR="00000000" w:rsidDel="00000000" w:rsidP="00000000" w:rsidRDefault="00000000" w:rsidRPr="00000000" w14:paraId="000001B8">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schedule of equipment showing its life expectancy, repair and replacement costs based on location, environmental conditions, level of maintenance and operational hours to inform a phased replacement programme. It is sometimes known as a PPM survey and is a register identifying and prioritising  short, medium and long term maintenance requirements and renewal works activities over the course of the maintenance contract, including any hand back obligations where necessary;</w:t>
            </w:r>
            <w:r w:rsidDel="00000000" w:rsidR="00000000" w:rsidRPr="00000000">
              <w:rPr>
                <w:rtl w:val="0"/>
              </w:rPr>
            </w:r>
          </w:p>
        </w:tc>
      </w:tr>
      <w:tr>
        <w:trPr>
          <w:cantSplit w:val="0"/>
          <w:tblHeader w:val="0"/>
        </w:trPr>
        <w:tc>
          <w:tcPr/>
          <w:p w:rsidR="00000000" w:rsidDel="00000000" w:rsidP="00000000" w:rsidRDefault="00000000" w:rsidRPr="00000000" w14:paraId="000001B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BA">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B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BC">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B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BE">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B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C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C2">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vAlign w:val="center"/>
          </w:tcPr>
          <w:p w:rsidR="00000000" w:rsidDel="00000000" w:rsidP="00000000" w:rsidRDefault="00000000" w:rsidRPr="00000000" w14:paraId="000001C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"Framework Initial Period"</w:t>
            </w:r>
            <w:r w:rsidDel="00000000" w:rsidR="00000000" w:rsidRPr="00000000">
              <w:rPr>
                <w:rtl w:val="0"/>
              </w:rPr>
            </w:r>
          </w:p>
        </w:tc>
        <w:tc>
          <w:tcPr>
            <w:vAlign w:val="center"/>
          </w:tcPr>
          <w:p w:rsidR="00000000" w:rsidDel="00000000" w:rsidP="00000000" w:rsidRDefault="00000000" w:rsidRPr="00000000" w14:paraId="000001C4">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initial term of the Framework Contract as specified in the Framework Award Form;</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C5">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Optional Extension”</w:t>
            </w:r>
          </w:p>
        </w:tc>
        <w:tc>
          <w:tcPr>
            <w:vAlign w:val="center"/>
          </w:tcPr>
          <w:p w:rsidR="00000000" w:rsidDel="00000000" w:rsidP="00000000" w:rsidRDefault="00000000" w:rsidRPr="00000000" w14:paraId="000001C6">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may be extended as specified in the Framework Award Form;</w:t>
            </w:r>
          </w:p>
        </w:tc>
      </w:tr>
      <w:tr>
        <w:trPr>
          <w:cantSplit w:val="0"/>
          <w:tblHeader w:val="0"/>
        </w:trPr>
        <w:tc>
          <w:tcPr/>
          <w:p w:rsidR="00000000" w:rsidDel="00000000" w:rsidP="00000000" w:rsidRDefault="00000000" w:rsidRPr="00000000" w14:paraId="000001C7">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C9">
            <w:pP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Quarterly Performance Indicator Submission Form”</w:t>
            </w:r>
          </w:p>
        </w:tc>
        <w:tc>
          <w:tcPr/>
          <w:p w:rsidR="00000000" w:rsidDel="00000000" w:rsidP="00000000" w:rsidRDefault="00000000" w:rsidRPr="00000000" w14:paraId="000001CA">
            <w:pPr>
              <w:tabs>
                <w:tab w:val="left" w:leader="none" w:pos="-179"/>
              </w:tabs>
              <w:spacing w:after="120" w:lineRule="auto"/>
              <w:ind w:left="284" w:right="282" w:firstLine="0"/>
              <w:jc w:val="both"/>
              <w:rPr>
                <w:rFonts w:ascii="Arial" w:cs="Arial" w:eastAsia="Arial" w:hAnsi="Arial"/>
                <w:sz w:val="26"/>
                <w:szCs w:val="26"/>
              </w:rPr>
            </w:pPr>
            <w:bookmarkStart w:colFirst="0" w:colLast="0" w:name="_heading=h.2s8eyo1" w:id="7"/>
            <w:bookmarkEnd w:id="7"/>
            <w:r w:rsidDel="00000000" w:rsidR="00000000" w:rsidRPr="00000000">
              <w:rPr>
                <w:rFonts w:ascii="Arial" w:cs="Arial" w:eastAsia="Arial" w:hAnsi="Arial"/>
                <w:color w:val="222222"/>
                <w:sz w:val="22"/>
                <w:szCs w:val="22"/>
                <w:highlight w:val="white"/>
                <w:rtl w:val="0"/>
              </w:rPr>
              <w:t xml:space="preserve">i</w:t>
            </w:r>
            <w:r w:rsidDel="00000000" w:rsidR="00000000" w:rsidRPr="00000000">
              <w:rPr>
                <w:rFonts w:ascii="Arial" w:cs="Arial" w:eastAsia="Arial" w:hAnsi="Arial"/>
                <w:color w:val="222222"/>
                <w:sz w:val="24"/>
                <w:szCs w:val="24"/>
                <w:highlight w:val="white"/>
                <w:rtl w:val="0"/>
              </w:rPr>
              <w:t xml:space="preserve">s the form Suppliers will complete on a quarterly basis reporting on social value activities as set out in Table B in</w:t>
            </w:r>
            <w:r w:rsidDel="00000000" w:rsidR="00000000" w:rsidRPr="00000000">
              <w:rPr>
                <w:rFonts w:ascii="Arial" w:cs="Arial" w:eastAsia="Arial" w:hAnsi="Arial"/>
                <w:color w:val="ff0000"/>
                <w:sz w:val="24"/>
                <w:szCs w:val="24"/>
                <w:highlight w:val="white"/>
                <w:rtl w:val="0"/>
              </w:rPr>
              <w:t xml:space="preserve"> </w:t>
            </w:r>
            <w:r w:rsidDel="00000000" w:rsidR="00000000" w:rsidRPr="00000000">
              <w:rPr>
                <w:rFonts w:ascii="Arial" w:cs="Arial" w:eastAsia="Arial" w:hAnsi="Arial"/>
                <w:color w:val="000000"/>
                <w:sz w:val="24"/>
                <w:szCs w:val="24"/>
                <w:highlight w:val="white"/>
                <w:rtl w:val="0"/>
              </w:rPr>
              <w:t xml:space="preserve">Joint Schedule 5 Corporate and Social Responsibility </w:t>
            </w:r>
            <w:r w:rsidDel="00000000" w:rsidR="00000000" w:rsidRPr="00000000">
              <w:rPr>
                <w:rtl w:val="0"/>
              </w:rPr>
            </w:r>
          </w:p>
        </w:tc>
      </w:tr>
      <w:tr>
        <w:trPr>
          <w:cantSplit w:val="0"/>
          <w:tblHeader w:val="0"/>
        </w:trPr>
        <w:tc>
          <w:tcPr/>
          <w:p w:rsidR="00000000" w:rsidDel="00000000" w:rsidP="00000000" w:rsidRDefault="00000000" w:rsidRPr="00000000" w14:paraId="000001C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C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C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D0">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D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sz w:val="24"/>
                <w:szCs w:val="24"/>
                <w:rtl w:val="0"/>
              </w:rPr>
              <w:t xml:space="preserve">F</w:t>
            </w:r>
            <w:r w:rsidDel="00000000" w:rsidR="00000000" w:rsidRPr="00000000">
              <w:rPr>
                <w:rFonts w:ascii="Arial" w:cs="Arial" w:eastAsia="Arial" w:hAnsi="Arial"/>
                <w:color w:val="000000"/>
                <w:sz w:val="24"/>
                <w:szCs w:val="24"/>
                <w:rtl w:val="0"/>
              </w:rPr>
              <w:t xml:space="preserve">urther </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ompetition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color w:val="000000"/>
                <w:sz w:val="24"/>
                <w:szCs w:val="24"/>
                <w:rtl w:val="0"/>
              </w:rPr>
              <w:t xml:space="preserve">rocedure described in Framework Schedule 7 (Call-Off Award Procedure);</w:t>
            </w:r>
          </w:p>
        </w:tc>
      </w:tr>
      <w:tr>
        <w:trPr>
          <w:cantSplit w:val="0"/>
          <w:tblHeader w:val="0"/>
        </w:trPr>
        <w:tc>
          <w:tcPr>
            <w:vAlign w:val="center"/>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“Further Competition”</w:t>
            </w:r>
            <w:r w:rsidDel="00000000" w:rsidR="00000000" w:rsidRPr="00000000">
              <w:rPr>
                <w:rtl w:val="0"/>
              </w:rPr>
            </w:r>
          </w:p>
        </w:tc>
        <w:tc>
          <w:tcPr>
            <w:vAlign w:val="center"/>
          </w:tcPr>
          <w:p w:rsidR="00000000" w:rsidDel="00000000" w:rsidP="00000000" w:rsidRDefault="00000000" w:rsidRPr="00000000" w14:paraId="000001D4">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 competition carried out in accordance with the Further Competition Procedure detailed within Framework Schedule 7(Call Off Award Procedure)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D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“Further Competition Award Criteria”</w:t>
            </w:r>
            <w:r w:rsidDel="00000000" w:rsidR="00000000" w:rsidRPr="00000000">
              <w:rPr>
                <w:rtl w:val="0"/>
              </w:rPr>
            </w:r>
          </w:p>
        </w:tc>
        <w:tc>
          <w:tcPr>
            <w:vAlign w:val="center"/>
          </w:tcPr>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criteria as defined in Annex B of Framework Schedule 7 (Call Off Award Procedure)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D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highlight w:val="cyan"/>
              </w:rPr>
            </w:pPr>
            <w:r w:rsidDel="00000000" w:rsidR="00000000" w:rsidRPr="00000000">
              <w:rPr>
                <w:rFonts w:ascii="Arial" w:cs="Arial" w:eastAsia="Arial" w:hAnsi="Arial"/>
                <w:b w:val="1"/>
                <w:sz w:val="24"/>
                <w:szCs w:val="24"/>
                <w:rtl w:val="0"/>
              </w:rPr>
              <w:t xml:space="preserve">"Further Competition TUPE Risk Premium</w:t>
            </w:r>
            <w:r w:rsidDel="00000000" w:rsidR="00000000" w:rsidRPr="00000000">
              <w:rPr>
                <w:rFonts w:ascii="Arial" w:cs="Arial" w:eastAsia="Arial" w:hAnsi="Arial"/>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amount payable  on an annual basis based on the difference between:</w:t>
            </w:r>
          </w:p>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the equivalent costs to employ staff used by the Supplier at Further Competition,</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in respect of payments due under contracts of employment in respect of the following: </w:t>
            </w:r>
          </w:p>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17" w:right="14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annual salary;</w:t>
            </w:r>
          </w:p>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17" w:right="14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annual national insurance cost;</w:t>
            </w:r>
          </w:p>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17" w:right="14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w:t>
              <w:tab/>
              <w:t xml:space="preserve">Annual Pension Cost;</w:t>
            </w:r>
          </w:p>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17" w:right="14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w:t>
              <w:tab/>
              <w:t xml:space="preserve">annual life insurance cost;</w:t>
            </w:r>
          </w:p>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17" w:right="14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w:t>
              <w:tab/>
              <w:t xml:space="preserve">annual sick pay entitlement;</w:t>
            </w:r>
          </w:p>
          <w:p w:rsidR="00000000" w:rsidDel="00000000" w:rsidP="00000000" w:rsidRDefault="00000000" w:rsidRPr="00000000" w14:paraId="000001E0">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17" w:right="14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w:t>
              <w:tab/>
              <w:t xml:space="preserve">maternity/paternity costs; and</w:t>
            </w:r>
          </w:p>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17" w:right="14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vii)</w:t>
              <w:tab/>
              <w:t xml:space="preserve">any other cost arising directly from the contract of employment of the Transferring Former Supplier Employee and or Transferring Buyer Employee, as set out in paragraph 1 of Call Off Schedule 28 (TUPE Surcharge);</w:t>
            </w:r>
          </w:p>
          <w:p w:rsidR="00000000" w:rsidDel="00000000" w:rsidP="00000000" w:rsidRDefault="00000000" w:rsidRPr="00000000" w14:paraId="000001E2">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E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E4">
            <w:pPr>
              <w:numPr>
                <w:ilvl w:val="1"/>
                <w:numId w:val="8"/>
              </w:numPr>
              <w:pBdr>
                <w:top w:space="0" w:sz="0" w:val="nil"/>
                <w:left w:space="0" w:sz="0" w:val="nil"/>
                <w:bottom w:space="0" w:sz="0" w:val="nil"/>
                <w:right w:space="0" w:sz="0" w:val="nil"/>
                <w:between w:space="0" w:sz="0" w:val="nil"/>
              </w:pBdr>
              <w:tabs>
                <w:tab w:val="left" w:leader="none" w:pos="-576"/>
                <w:tab w:val="left" w:leader="none" w:pos="144"/>
                <w:tab w:val="left" w:leader="none" w:pos="990"/>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w:t>
            </w:r>
          </w:p>
          <w:p w:rsidR="00000000" w:rsidDel="00000000" w:rsidP="00000000" w:rsidRDefault="00000000" w:rsidRPr="00000000" w14:paraId="000001E5">
            <w:pPr>
              <w:numPr>
                <w:ilvl w:val="1"/>
                <w:numId w:val="8"/>
              </w:numPr>
              <w:pBdr>
                <w:top w:space="0" w:sz="0" w:val="nil"/>
                <w:left w:space="0" w:sz="0" w:val="nil"/>
                <w:bottom w:space="0" w:sz="0" w:val="nil"/>
                <w:right w:space="0" w:sz="0" w:val="nil"/>
                <w:between w:space="0" w:sz="0" w:val="nil"/>
              </w:pBdr>
              <w:tabs>
                <w:tab w:val="left" w:leader="none" w:pos="-576"/>
                <w:tab w:val="left" w:leader="none" w:pos="144"/>
                <w:tab w:val="left" w:leader="none" w:pos="990"/>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E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E7">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E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“General Ledger”</w:t>
            </w:r>
            <w:r w:rsidDel="00000000" w:rsidR="00000000" w:rsidRPr="00000000">
              <w:rPr>
                <w:rtl w:val="0"/>
              </w:rPr>
            </w:r>
          </w:p>
        </w:tc>
        <w:tc>
          <w:tcPr/>
          <w:p w:rsidR="00000000" w:rsidDel="00000000" w:rsidP="00000000" w:rsidRDefault="00000000" w:rsidRPr="00000000" w14:paraId="000001E9">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main accounting record of a company or organization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EA">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“Geographical Boundary</w:t>
            </w:r>
            <w:r w:rsidDel="00000000" w:rsidR="00000000" w:rsidRPr="00000000">
              <w:rPr>
                <w:rFonts w:ascii="Arial" w:cs="Arial" w:eastAsia="Arial" w:hAnsi="Arial"/>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1EB">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means the geographical boundary coverage areas provided as part of the Framework Tender Response (as amended by paragraph 9 of Framework Schedule 4 (Framework Management)), using the relevant boundary codes as stated on </w:t>
            </w:r>
            <w:hyperlink r:id="rId7">
              <w:r w:rsidDel="00000000" w:rsidR="00000000" w:rsidRPr="00000000">
                <w:rPr>
                  <w:rFonts w:ascii="Arial" w:cs="Arial" w:eastAsia="Arial" w:hAnsi="Arial"/>
                  <w:color w:val="000000"/>
                  <w:sz w:val="24"/>
                  <w:szCs w:val="24"/>
                  <w:highlight w:val="white"/>
                  <w:u w:val="single"/>
                  <w:rtl w:val="0"/>
                </w:rPr>
                <w:t xml:space="preserve">https://www.ons.gov.uk/methodology/geography/ukgeographies/eurostat</w:t>
              </w:r>
            </w:hyperlink>
            <w:r w:rsidDel="00000000" w:rsidR="00000000" w:rsidRPr="00000000">
              <w:rPr>
                <w:rtl w:val="0"/>
              </w:rPr>
            </w:r>
          </w:p>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Pr>
              <w:drawing>
                <wp:inline distB="0" distT="0" distL="114300" distR="114300">
                  <wp:extent cx="958850" cy="622300"/>
                  <wp:effectExtent b="0" l="0" r="0" t="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958850" cy="622300"/>
                          </a:xfrm>
                          <a:prstGeom prst="rect"/>
                          <a:ln/>
                        </pic:spPr>
                      </pic:pic>
                    </a:graphicData>
                  </a:graphic>
                </wp:inline>
              </w:drawing>
            </w:r>
            <w:r w:rsidDel="00000000" w:rsidR="00000000" w:rsidRPr="00000000">
              <w:rPr>
                <w:rtl w:val="0"/>
              </w:rPr>
            </w:r>
          </w:p>
        </w:tc>
      </w:tr>
      <w:tr>
        <w:trPr>
          <w:cantSplit w:val="0"/>
          <w:tblHeader w:val="0"/>
        </w:trPr>
        <w:tc>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“Global Design Principles”</w:t>
            </w:r>
            <w:r w:rsidDel="00000000" w:rsidR="00000000" w:rsidRPr="00000000">
              <w:rPr>
                <w:rtl w:val="0"/>
              </w:rPr>
            </w:r>
          </w:p>
        </w:tc>
        <w:tc>
          <w:tcPr/>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set of common processes and procedures, which are used by core government departments and their arms' length bodies, (ALBs), to ensure consistency across government and facilitate greater sharing of expertise</w:t>
            </w:r>
          </w:p>
        </w:tc>
      </w:tr>
      <w:tr>
        <w:trPr>
          <w:cantSplit w:val="0"/>
          <w:tblHeader w:val="0"/>
        </w:trPr>
        <w:tc>
          <w:tcPr/>
          <w:p w:rsidR="00000000" w:rsidDel="00000000" w:rsidP="00000000" w:rsidRDefault="00000000" w:rsidRPr="00000000" w14:paraId="000001EF">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“Gold Contract”</w:t>
              <w:tab/>
              <w:tab/>
            </w:r>
          </w:p>
        </w:tc>
        <w:tc>
          <w:tcPr/>
          <w:p w:rsidR="00000000" w:rsidDel="00000000" w:rsidP="00000000" w:rsidRDefault="00000000" w:rsidRPr="00000000" w14:paraId="000001F0">
            <w:pPr>
              <w:tabs>
                <w:tab w:val="left" w:leader="none" w:pos="284"/>
              </w:tabs>
              <w:spacing w:after="120" w:lineRule="auto"/>
              <w:ind w:left="284" w:right="28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Call-Off Contract categorised as a Gold contract using the Cabinet Office Contract Tiering Tool.</w:t>
            </w:r>
          </w:p>
        </w:tc>
      </w:tr>
      <w:tr>
        <w:trPr>
          <w:cantSplit w:val="0"/>
          <w:tblHeader w:val="0"/>
        </w:trPr>
        <w:tc>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vAlign w:val="center"/>
          </w:tcPr>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“Government Buying Standards”</w:t>
            </w:r>
            <w:r w:rsidDel="00000000" w:rsidR="00000000" w:rsidRPr="00000000">
              <w:rPr>
                <w:rtl w:val="0"/>
              </w:rPr>
            </w:r>
          </w:p>
        </w:tc>
        <w:tc>
          <w:tcPr>
            <w:vAlign w:val="center"/>
          </w:tcPr>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product specifications in line with the European Commission’s Green Public Procurement initiative. The current Government Buying Standards are owned by the Department for the Environment, Food and Rural Affairs (DEFRA)</w:t>
            </w:r>
            <w:r w:rsidDel="00000000" w:rsidR="00000000" w:rsidRPr="00000000">
              <w:rPr>
                <w:rtl w:val="0"/>
              </w:rPr>
            </w:r>
          </w:p>
        </w:tc>
      </w:tr>
      <w:tr>
        <w:trPr>
          <w:cantSplit w:val="0"/>
          <w:tblHeader w:val="0"/>
        </w:trPr>
        <w:tc>
          <w:tcPr/>
          <w:p w:rsidR="00000000" w:rsidDel="00000000" w:rsidP="00000000" w:rsidRDefault="00000000" w:rsidRPr="00000000" w14:paraId="000001F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FA">
            <w:p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FB">
            <w:pPr>
              <w:numPr>
                <w:ilvl w:val="2"/>
                <w:numId w:val="8"/>
              </w:numPr>
              <w:pBdr>
                <w:top w:space="0" w:sz="0" w:val="nil"/>
                <w:left w:space="0" w:sz="0" w:val="nil"/>
                <w:bottom w:space="0" w:sz="0" w:val="nil"/>
                <w:right w:space="0" w:sz="0" w:val="nil"/>
                <w:between w:space="0" w:sz="0" w:val="nil"/>
              </w:pBdr>
              <w:tabs>
                <w:tab w:val="left" w:leader="none" w:pos="-576"/>
                <w:tab w:val="left" w:leader="none" w:pos="420"/>
              </w:tabs>
              <w:spacing w:after="120" w:lineRule="auto"/>
              <w:ind w:left="1700"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FC">
            <w:pPr>
              <w:numPr>
                <w:ilvl w:val="2"/>
                <w:numId w:val="8"/>
              </w:numPr>
              <w:pBdr>
                <w:top w:space="0" w:sz="0" w:val="nil"/>
                <w:left w:space="0" w:sz="0" w:val="nil"/>
                <w:bottom w:space="0" w:sz="0" w:val="nil"/>
                <w:right w:space="0" w:sz="0" w:val="nil"/>
                <w:between w:space="0" w:sz="0" w:val="nil"/>
              </w:pBdr>
              <w:tabs>
                <w:tab w:val="left" w:leader="none" w:pos="-576"/>
                <w:tab w:val="left" w:leader="none" w:pos="270"/>
              </w:tabs>
              <w:spacing w:after="120" w:lineRule="auto"/>
              <w:ind w:left="1700"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vAlign w:val="center"/>
          </w:tcPr>
          <w:p w:rsidR="00000000" w:rsidDel="00000000" w:rsidP="00000000" w:rsidRDefault="00000000" w:rsidRPr="00000000" w14:paraId="000001FD">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“Greening Government Commitments”</w:t>
            </w:r>
            <w:r w:rsidDel="00000000" w:rsidR="00000000" w:rsidRPr="00000000">
              <w:rPr>
                <w:rtl w:val="0"/>
              </w:rPr>
            </w:r>
          </w:p>
        </w:tc>
        <w:tc>
          <w:tcPr>
            <w:vAlign w:val="center"/>
          </w:tcPr>
          <w:p w:rsidR="00000000" w:rsidDel="00000000" w:rsidP="00000000" w:rsidRDefault="00000000" w:rsidRPr="00000000" w14:paraId="000001FE">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UK policy commitments to greening operations and procurement set by the Department for the Environment, Food and Rural Affairs (DEFRA)</w:t>
            </w:r>
            <w:r w:rsidDel="00000000" w:rsidR="00000000" w:rsidRPr="00000000">
              <w:rPr>
                <w:rtl w:val="0"/>
              </w:rPr>
            </w:r>
          </w:p>
        </w:tc>
      </w:tr>
      <w:tr>
        <w:trPr>
          <w:cantSplit w:val="0"/>
          <w:tblHeader w:val="0"/>
        </w:trPr>
        <w:tc>
          <w:tcPr/>
          <w:p w:rsidR="00000000" w:rsidDel="00000000" w:rsidP="00000000" w:rsidRDefault="00000000" w:rsidRPr="00000000" w14:paraId="000001FF">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20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“HACCP”</w:t>
            </w:r>
            <w:r w:rsidDel="00000000" w:rsidR="00000000" w:rsidRPr="00000000">
              <w:rPr>
                <w:rtl w:val="0"/>
              </w:rPr>
            </w:r>
          </w:p>
        </w:tc>
        <w:tc>
          <w:tcPr/>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Hazard Analysis and Critical Control Point</w:t>
            </w:r>
            <w:r w:rsidDel="00000000" w:rsidR="00000000" w:rsidRPr="00000000">
              <w:rPr>
                <w:rtl w:val="0"/>
              </w:rPr>
            </w:r>
          </w:p>
        </w:tc>
      </w:tr>
      <w:tr>
        <w:trPr>
          <w:cantSplit w:val="0"/>
          <w:tblHeader w:val="0"/>
        </w:trPr>
        <w:tc>
          <w:tcPr/>
          <w:p w:rsidR="00000000" w:rsidDel="00000000" w:rsidP="00000000" w:rsidRDefault="00000000" w:rsidRPr="00000000" w14:paraId="0000020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“Historic Environment Scotland”</w:t>
            </w:r>
          </w:p>
        </w:tc>
        <w:tc>
          <w:tcPr/>
          <w:p w:rsidR="00000000" w:rsidDel="00000000" w:rsidP="00000000" w:rsidRDefault="00000000" w:rsidRPr="00000000" w14:paraId="00000206">
            <w:pPr>
              <w:tabs>
                <w:tab w:val="left" w:leader="none" w:pos="284"/>
              </w:tabs>
              <w:spacing w:line="276" w:lineRule="auto"/>
              <w:ind w:left="284" w:right="28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 executive non-departmental public body responsible for investigating, caring for and promoting Scotland's historic environment</w:t>
            </w:r>
          </w:p>
        </w:tc>
      </w:tr>
      <w:tr>
        <w:trPr>
          <w:cantSplit w:val="0"/>
          <w:tblHeader w:val="0"/>
        </w:trPr>
        <w:tc>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“Historic Volumes”</w:t>
            </w:r>
            <w:r w:rsidDel="00000000" w:rsidR="00000000" w:rsidRPr="00000000">
              <w:rPr>
                <w:rtl w:val="0"/>
              </w:rPr>
            </w:r>
          </w:p>
        </w:tc>
        <w:tc>
          <w:tcPr/>
          <w:p w:rsidR="00000000" w:rsidDel="00000000" w:rsidP="00000000" w:rsidRDefault="00000000" w:rsidRPr="00000000" w14:paraId="00000208">
            <w:pPr>
              <w:tabs>
                <w:tab w:val="left" w:leader="none" w:pos="284"/>
              </w:tabs>
              <w:spacing w:line="276" w:lineRule="auto"/>
              <w:ind w:left="284" w:right="28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level of activity that has previously been delivered</w:t>
            </w:r>
            <w:r w:rsidDel="00000000" w:rsidR="00000000" w:rsidRPr="00000000">
              <w:rPr>
                <w:rtl w:val="0"/>
              </w:rPr>
            </w:r>
          </w:p>
        </w:tc>
      </w:tr>
      <w:tr>
        <w:trPr>
          <w:cantSplit w:val="0"/>
          <w:tblHeader w:val="0"/>
        </w:trPr>
        <w:tc>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“HM Government”</w:t>
            </w:r>
            <w:r w:rsidDel="00000000" w:rsidR="00000000" w:rsidRPr="00000000">
              <w:rPr>
                <w:rtl w:val="0"/>
              </w:rPr>
            </w:r>
          </w:p>
        </w:tc>
        <w:tc>
          <w:tcPr/>
          <w:p w:rsidR="00000000" w:rsidDel="00000000" w:rsidP="00000000" w:rsidRDefault="00000000" w:rsidRPr="00000000" w14:paraId="0000020A">
            <w:pPr>
              <w:tabs>
                <w:tab w:val="left" w:leader="none" w:pos="284"/>
              </w:tabs>
              <w:spacing w:line="276" w:lineRule="auto"/>
              <w:ind w:left="284" w:right="28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His Majesty's Government;</w:t>
            </w:r>
            <w:r w:rsidDel="00000000" w:rsidR="00000000" w:rsidRPr="00000000">
              <w:rPr>
                <w:rtl w:val="0"/>
              </w:rPr>
            </w:r>
          </w:p>
        </w:tc>
      </w:tr>
      <w:tr>
        <w:trPr>
          <w:cantSplit w:val="0"/>
          <w:tblHeader w:val="0"/>
        </w:trPr>
        <w:tc>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His Majesty’s Revenue and Customs;</w:t>
            </w:r>
          </w:p>
        </w:tc>
      </w:tr>
      <w:tr>
        <w:trPr>
          <w:cantSplit w:val="0"/>
          <w:tblHeader w:val="0"/>
        </w:trPr>
        <w:tc>
          <w:tcPr/>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“HSE”</w:t>
            </w:r>
            <w:r w:rsidDel="00000000" w:rsidR="00000000" w:rsidRPr="00000000">
              <w:rPr>
                <w:rtl w:val="0"/>
              </w:rPr>
            </w:r>
          </w:p>
        </w:tc>
        <w:tc>
          <w:tcPr/>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Health and Safety Executive;</w:t>
            </w:r>
            <w:r w:rsidDel="00000000" w:rsidR="00000000" w:rsidRPr="00000000">
              <w:rPr>
                <w:rtl w:val="0"/>
              </w:rPr>
            </w:r>
          </w:p>
        </w:tc>
      </w:tr>
      <w:tr>
        <w:trPr>
          <w:cantSplit w:val="0"/>
          <w:tblHeader w:val="0"/>
        </w:trPr>
        <w:tc>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“HTM”</w:t>
            </w:r>
          </w:p>
        </w:tc>
        <w:tc>
          <w:tcPr/>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Health Technical Memoranda;</w:t>
            </w:r>
          </w:p>
        </w:tc>
      </w:tr>
      <w:tr>
        <w:trPr>
          <w:cantSplit w:val="0"/>
          <w:tblHeader w:val="0"/>
        </w:trPr>
        <w:tc>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215">
            <w:pPr>
              <w:numPr>
                <w:ilvl w:val="1"/>
                <w:numId w:val="10"/>
              </w:numPr>
              <w:pBdr>
                <w:top w:space="0" w:sz="0" w:val="nil"/>
                <w:left w:space="0" w:sz="0" w:val="nil"/>
                <w:bottom w:space="0" w:sz="0" w:val="nil"/>
                <w:right w:space="0" w:sz="0" w:val="nil"/>
                <w:between w:space="0" w:sz="0" w:val="nil"/>
              </w:pBdr>
              <w:tabs>
                <w:tab w:val="left" w:leader="none" w:pos="-576"/>
                <w:tab w:val="left" w:leader="none" w:pos="144"/>
                <w:tab w:val="left" w:leader="none" w:pos="990"/>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216">
            <w:pPr>
              <w:numPr>
                <w:ilvl w:val="1"/>
                <w:numId w:val="10"/>
              </w:numPr>
              <w:pBdr>
                <w:top w:space="0" w:sz="0" w:val="nil"/>
                <w:left w:space="0" w:sz="0" w:val="nil"/>
                <w:bottom w:space="0" w:sz="0" w:val="nil"/>
                <w:right w:space="0" w:sz="0" w:val="nil"/>
                <w:between w:space="0" w:sz="0" w:val="nil"/>
              </w:pBdr>
              <w:tabs>
                <w:tab w:val="left" w:leader="none" w:pos="-576"/>
                <w:tab w:val="left" w:leader="none" w:pos="144"/>
                <w:tab w:val="left" w:leader="none" w:pos="990"/>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217">
            <w:pPr>
              <w:numPr>
                <w:ilvl w:val="1"/>
                <w:numId w:val="10"/>
              </w:numPr>
              <w:pBdr>
                <w:top w:space="0" w:sz="0" w:val="nil"/>
                <w:left w:space="0" w:sz="0" w:val="nil"/>
                <w:bottom w:space="0" w:sz="0" w:val="nil"/>
                <w:right w:space="0" w:sz="0" w:val="nil"/>
                <w:between w:space="0" w:sz="0" w:val="nil"/>
              </w:pBdr>
              <w:tabs>
                <w:tab w:val="left" w:leader="none" w:pos="-576"/>
                <w:tab w:val="left" w:leader="none" w:pos="144"/>
                <w:tab w:val="left" w:leader="none" w:pos="990"/>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218">
            <w:pPr>
              <w:numPr>
                <w:ilvl w:val="1"/>
                <w:numId w:val="10"/>
              </w:numPr>
              <w:pBdr>
                <w:top w:space="0" w:sz="0" w:val="nil"/>
                <w:left w:space="0" w:sz="0" w:val="nil"/>
                <w:bottom w:space="0" w:sz="0" w:val="nil"/>
                <w:right w:space="0" w:sz="0" w:val="nil"/>
                <w:between w:space="0" w:sz="0" w:val="nil"/>
              </w:pBdr>
              <w:tabs>
                <w:tab w:val="left" w:leader="none" w:pos="-576"/>
                <w:tab w:val="left" w:leader="none" w:pos="144"/>
                <w:tab w:val="left" w:leader="none" w:pos="990"/>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w:t>
            </w:r>
          </w:p>
          <w:p w:rsidR="00000000" w:rsidDel="00000000" w:rsidP="00000000" w:rsidRDefault="00000000" w:rsidRPr="00000000" w14:paraId="00000219">
            <w:pPr>
              <w:numPr>
                <w:ilvl w:val="1"/>
                <w:numId w:val="10"/>
              </w:numPr>
              <w:pBdr>
                <w:top w:space="0" w:sz="0" w:val="nil"/>
                <w:left w:space="0" w:sz="0" w:val="nil"/>
                <w:bottom w:space="0" w:sz="0" w:val="nil"/>
                <w:right w:space="0" w:sz="0" w:val="nil"/>
                <w:between w:space="0" w:sz="0" w:val="nil"/>
              </w:pBdr>
              <w:tabs>
                <w:tab w:val="left" w:leader="none" w:pos="-576"/>
                <w:tab w:val="left" w:leader="none" w:pos="144"/>
                <w:tab w:val="left" w:leader="none" w:pos="990"/>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together with any proposals for the testing of the Variation; and</w:t>
            </w:r>
          </w:p>
          <w:p w:rsidR="00000000" w:rsidDel="00000000" w:rsidP="00000000" w:rsidRDefault="00000000" w:rsidRPr="00000000" w14:paraId="0000021A">
            <w:pPr>
              <w:numPr>
                <w:ilvl w:val="1"/>
                <w:numId w:val="10"/>
              </w:numPr>
              <w:pBdr>
                <w:top w:space="0" w:sz="0" w:val="nil"/>
                <w:left w:space="0" w:sz="0" w:val="nil"/>
                <w:bottom w:space="0" w:sz="0" w:val="nil"/>
                <w:right w:space="0" w:sz="0" w:val="nil"/>
                <w:between w:space="0" w:sz="0" w:val="nil"/>
              </w:pBdr>
              <w:tabs>
                <w:tab w:val="left" w:leader="none" w:pos="-576"/>
                <w:tab w:val="left" w:leader="none" w:pos="144"/>
                <w:tab w:val="left" w:leader="none" w:pos="990"/>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“Incumbent Supplier”</w:t>
            </w:r>
            <w:r w:rsidDel="00000000" w:rsidR="00000000" w:rsidRPr="00000000">
              <w:rPr>
                <w:rtl w:val="0"/>
              </w:rPr>
            </w:r>
          </w:p>
        </w:tc>
        <w:tc>
          <w:tcPr/>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the Supplier already engaged by the Buyer to provide the Services which are to be provided by the Supplier on the commencement of the contract for Services</w:t>
            </w:r>
            <w:r w:rsidDel="00000000" w:rsidR="00000000" w:rsidRPr="00000000">
              <w:rPr>
                <w:rtl w:val="0"/>
              </w:rPr>
            </w:r>
          </w:p>
        </w:tc>
      </w:tr>
      <w:tr>
        <w:trPr>
          <w:cantSplit w:val="0"/>
          <w:tblHeader w:val="0"/>
        </w:trPr>
        <w:tc>
          <w:tcPr/>
          <w:p w:rsidR="00000000" w:rsidDel="00000000" w:rsidP="00000000" w:rsidRDefault="00000000" w:rsidRPr="00000000" w14:paraId="0000021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22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22B">
            <w:pPr>
              <w:pBdr>
                <w:top w:space="0" w:sz="0" w:val="nil"/>
                <w:left w:space="0" w:sz="0" w:val="nil"/>
                <w:bottom w:space="0" w:sz="0" w:val="nil"/>
                <w:right w:space="0" w:sz="0" w:val="nil"/>
                <w:between w:space="0" w:sz="0" w:val="nil"/>
              </w:pBdr>
              <w:tabs>
                <w:tab w:val="left" w:leader="none" w:pos="990"/>
              </w:tabs>
              <w:spacing w:after="120" w:lineRule="auto"/>
              <w:ind w:left="992" w:right="282" w:hanging="70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22C">
            <w:pPr>
              <w:pBdr>
                <w:top w:space="0" w:sz="0" w:val="nil"/>
                <w:left w:space="0" w:sz="0" w:val="nil"/>
                <w:bottom w:space="0" w:sz="0" w:val="nil"/>
                <w:right w:space="0" w:sz="0" w:val="nil"/>
                <w:between w:space="0" w:sz="0" w:val="nil"/>
              </w:pBdr>
              <w:tabs>
                <w:tab w:val="left" w:leader="none" w:pos="284"/>
              </w:tabs>
              <w:spacing w:after="120" w:lineRule="auto"/>
              <w:ind w:left="1417"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22D">
            <w:pPr>
              <w:pBdr>
                <w:top w:space="0" w:sz="0" w:val="nil"/>
                <w:left w:space="0" w:sz="0" w:val="nil"/>
                <w:bottom w:space="0" w:sz="0" w:val="nil"/>
                <w:right w:space="0" w:sz="0" w:val="nil"/>
                <w:between w:space="0" w:sz="0" w:val="nil"/>
              </w:pBdr>
              <w:tabs>
                <w:tab w:val="left" w:leader="none" w:pos="284"/>
              </w:tabs>
              <w:spacing w:after="120" w:lineRule="auto"/>
              <w:ind w:left="1417"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left" w:leader="none" w:pos="28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left" w:leader="none" w:pos="28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leader="none" w:pos="28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231">
            <w:pPr>
              <w:pBdr>
                <w:top w:space="0" w:sz="0" w:val="nil"/>
                <w:left w:space="0" w:sz="0" w:val="nil"/>
                <w:bottom w:space="0" w:sz="0" w:val="nil"/>
                <w:right w:space="0" w:sz="0" w:val="nil"/>
                <w:between w:space="0" w:sz="0" w:val="nil"/>
              </w:pBdr>
              <w:tabs>
                <w:tab w:val="left" w:leader="none" w:pos="28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leader="none" w:pos="28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left" w:leader="none" w:pos="705"/>
              </w:tabs>
              <w:spacing w:after="120" w:lineRule="auto"/>
              <w:ind w:left="1417"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left" w:leader="none" w:pos="705"/>
              </w:tabs>
              <w:spacing w:after="120" w:lineRule="auto"/>
              <w:ind w:left="1417"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leader="none" w:pos="705"/>
              </w:tabs>
              <w:spacing w:after="120" w:lineRule="auto"/>
              <w:ind w:left="1417"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236">
            <w:pPr>
              <w:pBdr>
                <w:top w:space="0" w:sz="0" w:val="nil"/>
                <w:left w:space="0" w:sz="0" w:val="nil"/>
                <w:bottom w:space="0" w:sz="0" w:val="nil"/>
                <w:right w:space="0" w:sz="0" w:val="nil"/>
                <w:between w:space="0" w:sz="0" w:val="nil"/>
              </w:pBdr>
              <w:tabs>
                <w:tab w:val="left" w:leader="none" w:pos="705"/>
              </w:tabs>
              <w:spacing w:after="120" w:lineRule="auto"/>
              <w:ind w:left="1417"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left" w:leader="none" w:pos="28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238">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during the Call-Off Contract Period to install the Goods in accordance with the Call-Off Contract;</w:t>
            </w:r>
          </w:p>
        </w:tc>
      </w:tr>
      <w:tr>
        <w:trPr>
          <w:cantSplit w:val="0"/>
          <w:tblHeader w:val="0"/>
        </w:trPr>
        <w:tc>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23B">
            <w:pPr>
              <w:numPr>
                <w:ilvl w:val="1"/>
                <w:numId w:val="5"/>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23C">
            <w:pPr>
              <w:numPr>
                <w:ilvl w:val="1"/>
                <w:numId w:val="5"/>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23D">
            <w:pPr>
              <w:numPr>
                <w:ilvl w:val="1"/>
                <w:numId w:val="5"/>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23F">
            <w:pPr>
              <w:pBdr>
                <w:top w:space="0" w:sz="0" w:val="nil"/>
                <w:left w:space="0" w:sz="0" w:val="nil"/>
                <w:bottom w:space="0" w:sz="0" w:val="nil"/>
                <w:right w:space="0" w:sz="0" w:val="nil"/>
                <w:between w:space="0" w:sz="0" w:val="nil"/>
              </w:pBdr>
              <w:tabs>
                <w:tab w:val="left" w:leader="none" w:pos="284"/>
              </w:tabs>
              <w:spacing w:after="120" w:lineRule="auto"/>
              <w:ind w:left="283"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“IOSH”</w:t>
            </w:r>
            <w:r w:rsidDel="00000000" w:rsidR="00000000" w:rsidRPr="00000000">
              <w:rPr>
                <w:rtl w:val="0"/>
              </w:rPr>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Institution of Occupational Safety and Health</w:t>
            </w:r>
            <w:r w:rsidDel="00000000" w:rsidR="00000000" w:rsidRPr="00000000">
              <w:rPr>
                <w:rtl w:val="0"/>
              </w:rPr>
            </w:r>
          </w:p>
        </w:tc>
      </w:tr>
      <w:tr>
        <w:trPr>
          <w:cantSplit w:val="0"/>
          <w:tblHeader w:val="0"/>
        </w:trPr>
        <w:tc>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243">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24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245">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9">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24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“ISO”</w:t>
            </w:r>
            <w:r w:rsidDel="00000000" w:rsidR="00000000" w:rsidRPr="00000000">
              <w:rPr>
                <w:rtl w:val="0"/>
              </w:rPr>
            </w:r>
          </w:p>
        </w:tc>
        <w:tc>
          <w:tcPr/>
          <w:p w:rsidR="00000000" w:rsidDel="00000000" w:rsidP="00000000" w:rsidRDefault="00000000" w:rsidRPr="00000000" w14:paraId="00000247">
            <w:pPr>
              <w:tabs>
                <w:tab w:val="left" w:leader="none" w:pos="284"/>
              </w:tabs>
              <w:spacing w:line="276" w:lineRule="auto"/>
              <w:ind w:left="284" w:right="28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Organization for Standardization;</w:t>
            </w:r>
          </w:p>
        </w:tc>
      </w:tr>
      <w:tr>
        <w:trPr>
          <w:cantSplit w:val="0"/>
          <w:tblHeader w:val="0"/>
        </w:trPr>
        <w:tc>
          <w:tcPr/>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“ITIL Framework”</w:t>
            </w:r>
          </w:p>
        </w:tc>
        <w:tc>
          <w:tcPr/>
          <w:p w:rsidR="00000000" w:rsidDel="00000000" w:rsidP="00000000" w:rsidRDefault="00000000" w:rsidRPr="00000000" w14:paraId="00000249">
            <w:pPr>
              <w:tabs>
                <w:tab w:val="left" w:leader="none" w:pos="284"/>
              </w:tabs>
              <w:spacing w:line="276" w:lineRule="auto"/>
              <w:ind w:left="284" w:right="28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ITIL is a set of detailed practices for IT service management that focuses on aligning IT services with the needs of business;</w:t>
            </w:r>
          </w:p>
        </w:tc>
      </w:tr>
      <w:tr>
        <w:trPr>
          <w:cantSplit w:val="0"/>
          <w:tblHeader w:val="0"/>
        </w:trPr>
        <w:tc>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24B">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24D">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24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24F">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25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251">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25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253">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254">
            <w:pPr>
              <w:numPr>
                <w:ilvl w:val="1"/>
                <w:numId w:val="17"/>
              </w:numPr>
              <w:pBdr>
                <w:top w:space="0" w:sz="0" w:val="nil"/>
                <w:left w:space="0" w:sz="0" w:val="nil"/>
                <w:bottom w:space="0" w:sz="0" w:val="nil"/>
                <w:right w:space="0" w:sz="0" w:val="nil"/>
                <w:between w:space="0" w:sz="0" w:val="nil"/>
              </w:pBdr>
              <w:tabs>
                <w:tab w:val="left" w:leader="none" w:pos="-576"/>
                <w:tab w:val="left" w:leader="none" w:pos="144"/>
                <w:tab w:val="left" w:leader="none" w:pos="840"/>
              </w:tabs>
              <w:spacing w:after="120" w:lineRule="auto"/>
              <w:ind w:left="1133" w:right="282"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255">
            <w:pPr>
              <w:numPr>
                <w:ilvl w:val="1"/>
                <w:numId w:val="17"/>
              </w:numPr>
              <w:pBdr>
                <w:top w:space="0" w:sz="0" w:val="nil"/>
                <w:left w:space="0" w:sz="0" w:val="nil"/>
                <w:bottom w:space="0" w:sz="0" w:val="nil"/>
                <w:right w:space="0" w:sz="0" w:val="nil"/>
                <w:between w:space="0" w:sz="0" w:val="nil"/>
              </w:pBdr>
              <w:tabs>
                <w:tab w:val="left" w:leader="none" w:pos="-576"/>
                <w:tab w:val="left" w:leader="none" w:pos="144"/>
                <w:tab w:val="left" w:leader="none" w:pos="840"/>
              </w:tabs>
              <w:spacing w:after="120" w:lineRule="auto"/>
              <w:ind w:left="1133" w:right="282"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256">
            <w:pPr>
              <w:numPr>
                <w:ilvl w:val="1"/>
                <w:numId w:val="17"/>
              </w:numPr>
              <w:pBdr>
                <w:top w:space="0" w:sz="0" w:val="nil"/>
                <w:left w:space="0" w:sz="0" w:val="nil"/>
                <w:bottom w:space="0" w:sz="0" w:val="nil"/>
                <w:right w:space="0" w:sz="0" w:val="nil"/>
                <w:between w:space="0" w:sz="0" w:val="nil"/>
              </w:pBdr>
              <w:tabs>
                <w:tab w:val="left" w:leader="none" w:pos="-576"/>
                <w:tab w:val="left" w:leader="none" w:pos="144"/>
                <w:tab w:val="left" w:leader="none" w:pos="840"/>
              </w:tabs>
              <w:spacing w:after="120" w:lineRule="auto"/>
              <w:ind w:left="1133" w:right="282"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257">
            <w:p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258">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vAlign w:val="center"/>
          </w:tcPr>
          <w:p w:rsidR="00000000" w:rsidDel="00000000" w:rsidP="00000000" w:rsidRDefault="00000000" w:rsidRPr="00000000" w14:paraId="0000025A">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"KPI Credits"</w:t>
            </w:r>
            <w:r w:rsidDel="00000000" w:rsidR="00000000" w:rsidRPr="00000000">
              <w:rPr>
                <w:rtl w:val="0"/>
              </w:rPr>
            </w:r>
          </w:p>
        </w:tc>
        <w:tc>
          <w:tcPr>
            <w:vAlign w:val="center"/>
          </w:tcPr>
          <w:p w:rsidR="00000000" w:rsidDel="00000000" w:rsidP="00000000" w:rsidRDefault="00000000" w:rsidRPr="00000000" w14:paraId="0000025B">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any KPI credits specified in Call Off Schedule 14 (Key Performance Indicators) as being payable by the Supplier to the Buyer in respect of any failure by the Supplier to meet one or more KPIs;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5C">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"KPIs"</w:t>
            </w:r>
            <w:r w:rsidDel="00000000" w:rsidR="00000000" w:rsidRPr="00000000">
              <w:rPr>
                <w:rtl w:val="0"/>
              </w:rPr>
            </w:r>
          </w:p>
        </w:tc>
        <w:tc>
          <w:tcPr>
            <w:vAlign w:val="center"/>
          </w:tcPr>
          <w:p w:rsidR="00000000" w:rsidDel="00000000" w:rsidP="00000000" w:rsidRDefault="00000000" w:rsidRPr="00000000" w14:paraId="0000025D">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any key performance indicator applicable to the provision of the Deliverables under the Call-Off Contract (which, where Call-Off Schedule 14 (Key Performance Indicators) is used in this Contract, are referred to in such Schedule);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5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"Labour Count"</w:t>
            </w:r>
            <w:r w:rsidDel="00000000" w:rsidR="00000000" w:rsidRPr="00000000">
              <w:rPr>
                <w:rtl w:val="0"/>
              </w:rPr>
            </w:r>
          </w:p>
        </w:tc>
        <w:tc>
          <w:tcPr>
            <w:vAlign w:val="center"/>
          </w:tcPr>
          <w:p w:rsidR="00000000" w:rsidDel="00000000" w:rsidP="00000000" w:rsidRDefault="00000000" w:rsidRPr="00000000" w14:paraId="0000025F">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total number of Transferring Former Supplier Employees and/or Transferring Employer Employees identified in the Supplier’s solution;</w:t>
            </w:r>
            <w:r w:rsidDel="00000000" w:rsidR="00000000" w:rsidRPr="00000000">
              <w:rPr>
                <w:rtl w:val="0"/>
              </w:rPr>
            </w:r>
          </w:p>
        </w:tc>
      </w:tr>
      <w:tr>
        <w:trPr>
          <w:cantSplit w:val="0"/>
          <w:trHeight w:val="285" w:hRule="atLeast"/>
          <w:tblHeader w:val="0"/>
        </w:trPr>
        <w:tc>
          <w:tcPr/>
          <w:p w:rsidR="00000000" w:rsidDel="00000000" w:rsidP="00000000" w:rsidRDefault="00000000" w:rsidRPr="00000000" w14:paraId="0000026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261">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26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“LBAC”</w:t>
            </w:r>
            <w:r w:rsidDel="00000000" w:rsidR="00000000" w:rsidRPr="00000000">
              <w:rPr>
                <w:rtl w:val="0"/>
              </w:rPr>
            </w:r>
          </w:p>
        </w:tc>
        <w:tc>
          <w:tcPr/>
          <w:p w:rsidR="00000000" w:rsidDel="00000000" w:rsidP="00000000" w:rsidRDefault="00000000" w:rsidRPr="00000000" w14:paraId="00000263">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Label-based access control, a method used to  greatly increase the control over who can access data. including expressly stating who has write access and who has read access to individual rows and individual columns</w:t>
            </w:r>
          </w:p>
        </w:tc>
      </w:tr>
      <w:tr>
        <w:trPr>
          <w:cantSplit w:val="0"/>
          <w:tblHeader w:val="0"/>
        </w:trPr>
        <w:tc>
          <w:tcPr/>
          <w:p w:rsidR="00000000" w:rsidDel="00000000" w:rsidP="00000000" w:rsidRDefault="00000000" w:rsidRPr="00000000" w14:paraId="0000026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leader="none" w:pos="175"/>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26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269">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26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26B">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vAlign w:val="center"/>
          </w:tcPr>
          <w:p w:rsidR="00000000" w:rsidDel="00000000" w:rsidP="00000000" w:rsidRDefault="00000000" w:rsidRPr="00000000" w14:paraId="0000026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“Management Overhead” </w:t>
            </w:r>
            <w:r w:rsidDel="00000000" w:rsidR="00000000" w:rsidRPr="00000000">
              <w:rPr>
                <w:rtl w:val="0"/>
              </w:rPr>
            </w:r>
          </w:p>
        </w:tc>
        <w:tc>
          <w:tcPr>
            <w:vAlign w:val="center"/>
          </w:tcPr>
          <w:p w:rsidR="00000000" w:rsidDel="00000000" w:rsidP="00000000" w:rsidRDefault="00000000" w:rsidRPr="00000000" w14:paraId="0000026D">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6E">
            <w:pPr>
              <w:pBdr>
                <w:top w:space="0" w:sz="0" w:val="nil"/>
                <w:left w:space="0" w:sz="0" w:val="nil"/>
                <w:bottom w:space="0" w:sz="0" w:val="nil"/>
                <w:right w:space="0" w:sz="0" w:val="nil"/>
                <w:between w:space="0" w:sz="0" w:val="nil"/>
              </w:pBdr>
              <w:tabs>
                <w:tab w:val="left" w:leader="none" w:pos="284"/>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Management Overhead includes, but is not limited to, activities relating to supervisory/management and administration activities of the service delivery. </w:t>
            </w:r>
          </w:p>
          <w:p w:rsidR="00000000" w:rsidDel="00000000" w:rsidP="00000000" w:rsidRDefault="00000000" w:rsidRPr="00000000" w14:paraId="0000026F">
            <w:pPr>
              <w:pBdr>
                <w:top w:space="0" w:sz="0" w:val="nil"/>
                <w:left w:space="0" w:sz="0" w:val="nil"/>
                <w:bottom w:space="0" w:sz="0" w:val="nil"/>
                <w:right w:space="0" w:sz="0" w:val="nil"/>
                <w:between w:space="0" w:sz="0" w:val="nil"/>
              </w:pBdr>
              <w:tabs>
                <w:tab w:val="left" w:leader="none" w:pos="284"/>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Management Overhead is captured at Framework level in the form of a percentage uplift, and forms part of the price evaluation. </w:t>
            </w:r>
          </w:p>
          <w:p w:rsidR="00000000" w:rsidDel="00000000" w:rsidP="00000000" w:rsidRDefault="00000000" w:rsidRPr="00000000" w14:paraId="00000270">
            <w:pPr>
              <w:pBdr>
                <w:top w:space="0" w:sz="0" w:val="nil"/>
                <w:left w:space="0" w:sz="0" w:val="nil"/>
                <w:bottom w:space="0" w:sz="0" w:val="nil"/>
                <w:right w:space="0" w:sz="0" w:val="nil"/>
                <w:between w:space="0" w:sz="0" w:val="nil"/>
              </w:pBdr>
              <w:tabs>
                <w:tab w:val="left" w:leader="none" w:pos="284"/>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Further Competition the Framework rates are used as maximum rates, and bidders are invited to reduce the rates for each specific Further Competition.</w:t>
            </w:r>
          </w:p>
          <w:p w:rsidR="00000000" w:rsidDel="00000000" w:rsidP="00000000" w:rsidRDefault="00000000" w:rsidRPr="00000000" w14:paraId="00000271">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263238"/>
                <w:sz w:val="24"/>
                <w:szCs w:val="24"/>
                <w:rtl w:val="0"/>
              </w:rPr>
              <w:t xml:space="preserve">“Mandatory Wage”</w:t>
            </w:r>
            <w:r w:rsidDel="00000000" w:rsidR="00000000" w:rsidRPr="00000000">
              <w:rPr>
                <w:rtl w:val="0"/>
              </w:rPr>
            </w:r>
          </w:p>
        </w:tc>
        <w:tc>
          <w:tcPr>
            <w:vAlign w:val="center"/>
          </w:tcPr>
          <w:p w:rsidR="00000000" w:rsidDel="00000000" w:rsidP="00000000" w:rsidRDefault="00000000" w:rsidRPr="00000000" w14:paraId="00000273">
            <w:pPr>
              <w:tabs>
                <w:tab w:val="left" w:leader="none" w:pos="284"/>
              </w:tabs>
              <w:ind w:right="282"/>
              <w:rPr>
                <w:rFonts w:ascii="Arial" w:cs="Arial" w:eastAsia="Arial" w:hAnsi="Arial"/>
                <w:color w:val="263238"/>
                <w:sz w:val="24"/>
                <w:szCs w:val="24"/>
              </w:rPr>
            </w:pPr>
            <w:r w:rsidDel="00000000" w:rsidR="00000000" w:rsidRPr="00000000">
              <w:rPr>
                <w:rFonts w:ascii="Arial" w:cs="Arial" w:eastAsia="Arial" w:hAnsi="Arial"/>
                <w:color w:val="202124"/>
                <w:sz w:val="24"/>
                <w:szCs w:val="24"/>
                <w:rtl w:val="0"/>
              </w:rPr>
              <w:t xml:space="preserve">where either: </w:t>
            </w:r>
            <w:r w:rsidDel="00000000" w:rsidR="00000000" w:rsidRPr="00000000">
              <w:rPr>
                <w:rtl w:val="0"/>
              </w:rPr>
            </w:r>
          </w:p>
          <w:p w:rsidR="00000000" w:rsidDel="00000000" w:rsidP="00000000" w:rsidRDefault="00000000" w:rsidRPr="00000000" w14:paraId="00000274">
            <w:pPr>
              <w:tabs>
                <w:tab w:val="left" w:leader="none" w:pos="284"/>
              </w:tabs>
              <w:ind w:left="1133" w:right="282"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a)          the statutory minimum hourly rate of pay including the National Living Wage and National Minimum Wage as set by the Crown; or</w:t>
            </w:r>
          </w:p>
          <w:p w:rsidR="00000000" w:rsidDel="00000000" w:rsidP="00000000" w:rsidRDefault="00000000" w:rsidRPr="00000000" w14:paraId="00000275">
            <w:pPr>
              <w:tabs>
                <w:tab w:val="left" w:leader="none" w:pos="284"/>
              </w:tabs>
              <w:ind w:left="1133" w:right="282" w:hanging="850"/>
              <w:rPr>
                <w:rFonts w:ascii="Arial" w:cs="Arial" w:eastAsia="Arial" w:hAnsi="Arial"/>
                <w:color w:val="263238"/>
                <w:sz w:val="24"/>
                <w:szCs w:val="24"/>
              </w:rPr>
            </w:pPr>
            <w:r w:rsidDel="00000000" w:rsidR="00000000" w:rsidRPr="00000000">
              <w:rPr>
                <w:rFonts w:ascii="Arial" w:cs="Arial" w:eastAsia="Arial" w:hAnsi="Arial"/>
                <w:sz w:val="24"/>
                <w:szCs w:val="24"/>
                <w:rtl w:val="0"/>
              </w:rPr>
              <w:t xml:space="preserve">b)          in the case of a Call-off Contract the introduction of a requirement by the Buyer that the Supplier pay Supplier Personnel a non-statutory minimum hourly rate of pay.</w:t>
            </w:r>
            <w:r w:rsidDel="00000000" w:rsidR="00000000" w:rsidRPr="00000000">
              <w:rPr>
                <w:rtl w:val="0"/>
              </w:rPr>
            </w:r>
          </w:p>
          <w:p w:rsidR="00000000" w:rsidDel="00000000" w:rsidP="00000000" w:rsidRDefault="00000000" w:rsidRPr="00000000" w14:paraId="00000276">
            <w:pPr>
              <w:tabs>
                <w:tab w:val="left" w:leader="none" w:pos="284"/>
              </w:tabs>
              <w:ind w:left="1133" w:right="282" w:hanging="850"/>
              <w:rPr>
                <w:rFonts w:ascii="Arial" w:cs="Arial" w:eastAsia="Arial" w:hAnsi="Arial"/>
                <w:color w:val="263238"/>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7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278">
            <w:pPr>
              <w:pBdr>
                <w:top w:space="0" w:sz="0" w:val="nil"/>
                <w:left w:space="0" w:sz="0" w:val="nil"/>
                <w:bottom w:space="0" w:sz="0" w:val="nil"/>
                <w:right w:space="0" w:sz="0" w:val="nil"/>
                <w:between w:space="0" w:sz="0" w:val="nil"/>
              </w:pBdr>
              <w:tabs>
                <w:tab w:val="left" w:leader="none" w:pos="175"/>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27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27A">
            <w:pPr>
              <w:pBdr>
                <w:top w:space="0" w:sz="0" w:val="nil"/>
                <w:left w:space="0" w:sz="0" w:val="nil"/>
                <w:bottom w:space="0" w:sz="0" w:val="nil"/>
                <w:right w:space="0" w:sz="0" w:val="nil"/>
                <w:between w:space="0" w:sz="0" w:val="nil"/>
              </w:pBdr>
              <w:tabs>
                <w:tab w:val="left" w:leader="none" w:pos="175"/>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27B">
            <w:pPr>
              <w:numPr>
                <w:ilvl w:val="1"/>
                <w:numId w:val="21"/>
              </w:numPr>
              <w:pBdr>
                <w:top w:space="0" w:sz="0" w:val="nil"/>
                <w:left w:space="0" w:sz="0" w:val="nil"/>
                <w:bottom w:space="0" w:sz="0" w:val="nil"/>
                <w:right w:space="0" w:sz="0" w:val="nil"/>
                <w:between w:space="0" w:sz="0" w:val="nil"/>
              </w:pBdr>
              <w:tabs>
                <w:tab w:val="left" w:leader="none" w:pos="-576"/>
                <w:tab w:val="left" w:leader="none" w:pos="175"/>
                <w:tab w:val="left" w:leader="none" w:pos="284"/>
              </w:tabs>
              <w:spacing w:after="120" w:lineRule="auto"/>
              <w:ind w:left="1133" w:right="282"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27C">
            <w:pPr>
              <w:numPr>
                <w:ilvl w:val="1"/>
                <w:numId w:val="21"/>
              </w:numPr>
              <w:pBdr>
                <w:top w:space="0" w:sz="0" w:val="nil"/>
                <w:left w:space="0" w:sz="0" w:val="nil"/>
                <w:bottom w:space="0" w:sz="0" w:val="nil"/>
                <w:right w:space="0" w:sz="0" w:val="nil"/>
                <w:between w:space="0" w:sz="0" w:val="nil"/>
              </w:pBdr>
              <w:tabs>
                <w:tab w:val="left" w:leader="none" w:pos="-576"/>
                <w:tab w:val="left" w:leader="none" w:pos="175"/>
                <w:tab w:val="left" w:leader="none" w:pos="284"/>
              </w:tabs>
              <w:spacing w:after="120" w:lineRule="auto"/>
              <w:ind w:left="1133" w:right="282"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27D">
            <w:pPr>
              <w:numPr>
                <w:ilvl w:val="1"/>
                <w:numId w:val="21"/>
              </w:numPr>
              <w:pBdr>
                <w:top w:space="0" w:sz="0" w:val="nil"/>
                <w:left w:space="0" w:sz="0" w:val="nil"/>
                <w:bottom w:space="0" w:sz="0" w:val="nil"/>
                <w:right w:space="0" w:sz="0" w:val="nil"/>
                <w:between w:space="0" w:sz="0" w:val="nil"/>
              </w:pBdr>
              <w:tabs>
                <w:tab w:val="left" w:leader="none" w:pos="-576"/>
                <w:tab w:val="left" w:leader="none" w:pos="175"/>
                <w:tab w:val="left" w:leader="none" w:pos="284"/>
              </w:tabs>
              <w:spacing w:after="120" w:lineRule="auto"/>
              <w:ind w:left="1133" w:right="282"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leader="none" w:pos="175"/>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leader="none" w:pos="175"/>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Mobilisation Plan;</w:t>
            </w:r>
          </w:p>
        </w:tc>
      </w:tr>
      <w:tr>
        <w:trPr>
          <w:cantSplit w:val="0"/>
          <w:tblHeader w:val="0"/>
        </w:trPr>
        <w:tc>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Mobilisation Plan by which the Milestone must be Achieved;</w:t>
            </w:r>
          </w:p>
        </w:tc>
      </w:tr>
      <w:tr>
        <w:trPr>
          <w:cantSplit w:val="0"/>
          <w:tblHeader w:val="0"/>
        </w:trPr>
        <w:tc>
          <w:tcPr>
            <w:vAlign w:val="center"/>
          </w:tcPr>
          <w:p w:rsidR="00000000" w:rsidDel="00000000" w:rsidP="00000000" w:rsidRDefault="00000000" w:rsidRPr="00000000" w14:paraId="0000028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“Mobilisation Period”</w:t>
            </w:r>
            <w:r w:rsidDel="00000000" w:rsidR="00000000" w:rsidRPr="00000000">
              <w:rPr>
                <w:rtl w:val="0"/>
              </w:rPr>
            </w:r>
          </w:p>
        </w:tc>
        <w:tc>
          <w:tcPr>
            <w:vAlign w:val="center"/>
          </w:tcPr>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a </w:t>
            </w:r>
            <w:r w:rsidDel="00000000" w:rsidR="00000000" w:rsidRPr="00000000">
              <w:rPr>
                <w:rFonts w:ascii="Arial" w:cs="Arial" w:eastAsia="Arial" w:hAnsi="Arial"/>
                <w:sz w:val="24"/>
                <w:szCs w:val="24"/>
                <w:highlight w:val="yellow"/>
                <w:rtl w:val="0"/>
              </w:rPr>
              <w:t xml:space="preserve">[six (6) Month]</w:t>
            </w:r>
            <w:r w:rsidDel="00000000" w:rsidR="00000000" w:rsidRPr="00000000">
              <w:rPr>
                <w:rFonts w:ascii="Arial" w:cs="Arial" w:eastAsia="Arial" w:hAnsi="Arial"/>
                <w:sz w:val="24"/>
                <w:szCs w:val="24"/>
                <w:rtl w:val="0"/>
              </w:rPr>
              <w:t xml:space="preserve"> period, following the Effective Date, prior to commencement of the Services (unless stated otherwise in the Order Form)</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8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"Mobilisation Plan"</w:t>
            </w:r>
            <w:r w:rsidDel="00000000" w:rsidR="00000000" w:rsidRPr="00000000">
              <w:rPr>
                <w:rtl w:val="0"/>
              </w:rPr>
            </w:r>
          </w:p>
        </w:tc>
        <w:tc>
          <w:tcPr>
            <w:vAlign w:val="center"/>
          </w:tcPr>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plan for provision of the Deliverables set out in Call-Off Schedule 13 (Mobilisation Plan and Testing) where that Schedule is used or otherwise as agreed between the Supplier and the Buyer;</w:t>
            </w:r>
            <w:r w:rsidDel="00000000" w:rsidR="00000000" w:rsidRPr="00000000">
              <w:rPr>
                <w:rtl w:val="0"/>
              </w:rPr>
            </w:r>
          </w:p>
        </w:tc>
      </w:tr>
      <w:tr>
        <w:trPr>
          <w:cantSplit w:val="0"/>
          <w:tblHeader w:val="0"/>
        </w:trPr>
        <w:tc>
          <w:tcPr/>
          <w:p w:rsidR="00000000" w:rsidDel="00000000" w:rsidP="00000000" w:rsidRDefault="00000000" w:rsidRPr="00000000" w14:paraId="0000028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vAlign w:val="center"/>
          </w:tcPr>
          <w:p w:rsidR="00000000" w:rsidDel="00000000" w:rsidP="00000000" w:rsidRDefault="00000000" w:rsidRPr="00000000" w14:paraId="0000028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"Monthly TUPE Risk Premium"</w:t>
            </w:r>
            <w:r w:rsidDel="00000000" w:rsidR="00000000" w:rsidRPr="00000000">
              <w:rPr>
                <w:rtl w:val="0"/>
              </w:rPr>
            </w:r>
          </w:p>
        </w:tc>
        <w:tc>
          <w:tcPr>
            <w:vAlign w:val="center"/>
          </w:tcPr>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the monthly TUPE risk premium payable for the Previous Service Month calculated in accordance with Call-Off Schedule 28 (TUPE Surcharge); </w:t>
            </w:r>
            <w:r w:rsidDel="00000000" w:rsidR="00000000" w:rsidRPr="00000000">
              <w:rPr>
                <w:rtl w:val="0"/>
              </w:rPr>
            </w:r>
          </w:p>
        </w:tc>
      </w:tr>
      <w:tr>
        <w:trPr>
          <w:cantSplit w:val="0"/>
          <w:tblHeader w:val="0"/>
        </w:trPr>
        <w:tc>
          <w:tcPr/>
          <w:p w:rsidR="00000000" w:rsidDel="00000000" w:rsidP="00000000" w:rsidRDefault="00000000" w:rsidRPr="00000000" w14:paraId="0000028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290">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“NAO”</w:t>
            </w:r>
          </w:p>
        </w:tc>
        <w:tc>
          <w:tcPr/>
          <w:p w:rsidR="00000000" w:rsidDel="00000000" w:rsidP="00000000" w:rsidRDefault="00000000" w:rsidRPr="00000000" w14:paraId="00000291">
            <w:pPr>
              <w:tabs>
                <w:tab w:val="left" w:leader="none" w:pos="284"/>
              </w:tabs>
              <w:spacing w:line="276" w:lineRule="auto"/>
              <w:ind w:left="284" w:right="28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National Audit Office</w:t>
            </w:r>
          </w:p>
        </w:tc>
      </w:tr>
      <w:tr>
        <w:trPr>
          <w:cantSplit w:val="0"/>
          <w:tblHeader w:val="0"/>
        </w:trPr>
        <w:tc>
          <w:tcPr/>
          <w:p w:rsidR="00000000" w:rsidDel="00000000" w:rsidP="00000000" w:rsidRDefault="00000000" w:rsidRPr="00000000" w14:paraId="0000029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“NCSC”</w:t>
            </w:r>
            <w:r w:rsidDel="00000000" w:rsidR="00000000" w:rsidRPr="00000000">
              <w:rPr>
                <w:rtl w:val="0"/>
              </w:rPr>
            </w:r>
          </w:p>
        </w:tc>
        <w:tc>
          <w:tcPr/>
          <w:p w:rsidR="00000000" w:rsidDel="00000000" w:rsidP="00000000" w:rsidRDefault="00000000" w:rsidRPr="00000000" w14:paraId="00000293">
            <w:pPr>
              <w:tabs>
                <w:tab w:val="left" w:leader="none" w:pos="284"/>
              </w:tabs>
              <w:spacing w:line="276" w:lineRule="auto"/>
              <w:ind w:left="284" w:right="28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National Cyber Security Centre</w:t>
            </w:r>
          </w:p>
        </w:tc>
      </w:tr>
      <w:tr>
        <w:trPr>
          <w:cantSplit w:val="0"/>
          <w:tblHeader w:val="0"/>
        </w:trPr>
        <w:tc>
          <w:tcPr/>
          <w:p w:rsidR="00000000" w:rsidDel="00000000" w:rsidP="00000000" w:rsidRDefault="00000000" w:rsidRPr="00000000" w14:paraId="0000029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295">
            <w:pPr>
              <w:numPr>
                <w:ilvl w:val="1"/>
                <w:numId w:val="2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33" w:right="282" w:hanging="850"/>
              <w:jc w:val="both"/>
              <w:rPr>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r w:rsidDel="00000000" w:rsidR="00000000" w:rsidRPr="00000000">
              <w:rPr>
                <w:rtl w:val="0"/>
              </w:rPr>
            </w:r>
          </w:p>
          <w:p w:rsidR="00000000" w:rsidDel="00000000" w:rsidP="00000000" w:rsidRDefault="00000000" w:rsidRPr="00000000" w14:paraId="00000296">
            <w:pPr>
              <w:numPr>
                <w:ilvl w:val="1"/>
                <w:numId w:val="28"/>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82"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297">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298">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"New Service"</w:t>
            </w:r>
            <w:r w:rsidDel="00000000" w:rsidR="00000000" w:rsidRPr="00000000">
              <w:rPr>
                <w:rtl w:val="0"/>
              </w:rPr>
            </w:r>
          </w:p>
        </w:tc>
        <w:tc>
          <w:tcPr/>
          <w:p w:rsidR="00000000" w:rsidDel="00000000" w:rsidP="00000000" w:rsidRDefault="00000000" w:rsidRPr="00000000" w14:paraId="00000299">
            <w:pPr>
              <w:tabs>
                <w:tab w:val="left" w:leader="none" w:pos="284"/>
              </w:tabs>
              <w:spacing w:line="276" w:lineRule="auto"/>
              <w:ind w:left="284" w:right="28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service that prior to engagement does not exist in its required form;</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A">
            <w:pPr>
              <w:tabs>
                <w:tab w:val="left" w:leader="none" w:pos="284"/>
              </w:tabs>
              <w:spacing w:after="120" w:line="276"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“NPSA”</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B">
            <w:pPr>
              <w:tabs>
                <w:tab w:val="left" w:leader="none" w:pos="284"/>
              </w:tabs>
              <w:spacing w:after="12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National Protective Security Authority, formerly the Centre for the Protection of National Infrastructure (CPNI)</w:t>
            </w:r>
          </w:p>
        </w:tc>
      </w:tr>
      <w:tr>
        <w:trPr>
          <w:cantSplit w:val="0"/>
          <w:tblHeader w:val="0"/>
        </w:trPr>
        <w:tc>
          <w:tcPr/>
          <w:p w:rsidR="00000000" w:rsidDel="00000000" w:rsidP="00000000" w:rsidRDefault="00000000" w:rsidRPr="00000000" w14:paraId="0000029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29D">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29E">
            <w:pPr>
              <w:numPr>
                <w:ilvl w:val="1"/>
                <w:numId w:val="19"/>
              </w:numPr>
              <w:pBdr>
                <w:top w:space="0" w:sz="0" w:val="nil"/>
                <w:left w:space="0" w:sz="0" w:val="nil"/>
                <w:bottom w:space="0" w:sz="0" w:val="nil"/>
                <w:right w:space="0" w:sz="0" w:val="nil"/>
                <w:between w:space="0" w:sz="0" w:val="nil"/>
              </w:pBdr>
              <w:tabs>
                <w:tab w:val="left" w:leader="none" w:pos="-576"/>
                <w:tab w:val="left" w:leader="none" w:pos="144"/>
                <w:tab w:val="left" w:leader="none" w:pos="1125"/>
              </w:tabs>
              <w:spacing w:after="120" w:lineRule="auto"/>
              <w:ind w:left="1133" w:right="282"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29F">
            <w:pPr>
              <w:numPr>
                <w:ilvl w:val="2"/>
                <w:numId w:val="19"/>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417"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2A0">
            <w:pPr>
              <w:numPr>
                <w:ilvl w:val="2"/>
                <w:numId w:val="19"/>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417"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2A1">
            <w:pPr>
              <w:numPr>
                <w:ilvl w:val="1"/>
                <w:numId w:val="19"/>
              </w:numPr>
              <w:pBdr>
                <w:top w:space="0" w:sz="0" w:val="nil"/>
                <w:left w:space="0" w:sz="0" w:val="nil"/>
                <w:bottom w:space="0" w:sz="0" w:val="nil"/>
                <w:right w:space="0" w:sz="0" w:val="nil"/>
                <w:between w:space="0" w:sz="0" w:val="nil"/>
              </w:pBdr>
              <w:tabs>
                <w:tab w:val="left" w:leader="none" w:pos="-576"/>
                <w:tab w:val="left" w:leader="none" w:pos="144"/>
                <w:tab w:val="left" w:leader="none" w:pos="270"/>
              </w:tabs>
              <w:spacing w:after="120" w:lineRule="auto"/>
              <w:ind w:left="1133" w:right="282" w:hanging="85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2A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“OGP”</w:t>
            </w:r>
            <w:r w:rsidDel="00000000" w:rsidR="00000000" w:rsidRPr="00000000">
              <w:rPr>
                <w:rtl w:val="0"/>
              </w:rPr>
            </w:r>
          </w:p>
        </w:tc>
        <w:tc>
          <w:tcPr/>
          <w:p w:rsidR="00000000" w:rsidDel="00000000" w:rsidP="00000000" w:rsidRDefault="00000000" w:rsidRPr="00000000" w14:paraId="000002A3">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Office of Government Property</w:t>
            </w:r>
            <w:r w:rsidDel="00000000" w:rsidR="00000000" w:rsidRPr="00000000">
              <w:rPr>
                <w:rtl w:val="0"/>
              </w:rPr>
            </w:r>
          </w:p>
        </w:tc>
      </w:tr>
      <w:tr>
        <w:trPr>
          <w:cantSplit w:val="0"/>
          <w:tblHeader w:val="0"/>
        </w:trPr>
        <w:tc>
          <w:tcPr/>
          <w:p w:rsidR="00000000" w:rsidDel="00000000" w:rsidP="00000000" w:rsidRDefault="00000000" w:rsidRPr="00000000" w14:paraId="000002A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“Off-Shore”</w:t>
            </w:r>
            <w:r w:rsidDel="00000000" w:rsidR="00000000" w:rsidRPr="00000000">
              <w:rPr>
                <w:rtl w:val="0"/>
              </w:rPr>
            </w:r>
          </w:p>
        </w:tc>
        <w:tc>
          <w:tcPr/>
          <w:p w:rsidR="00000000" w:rsidDel="00000000" w:rsidP="00000000" w:rsidRDefault="00000000" w:rsidRPr="00000000" w14:paraId="000002A5">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any Services delivered from outside the United Kingdom;</w:t>
            </w:r>
            <w:r w:rsidDel="00000000" w:rsidR="00000000" w:rsidRPr="00000000">
              <w:rPr>
                <w:rtl w:val="0"/>
              </w:rPr>
            </w:r>
          </w:p>
        </w:tc>
      </w:tr>
      <w:tr>
        <w:trPr>
          <w:cantSplit w:val="0"/>
          <w:tblHeader w:val="0"/>
        </w:trPr>
        <w:tc>
          <w:tcPr/>
          <w:p w:rsidR="00000000" w:rsidDel="00000000" w:rsidP="00000000" w:rsidRDefault="00000000" w:rsidRPr="00000000" w14:paraId="000002A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“OLA”</w:t>
            </w:r>
            <w:r w:rsidDel="00000000" w:rsidR="00000000" w:rsidRPr="00000000">
              <w:rPr>
                <w:rtl w:val="0"/>
              </w:rPr>
            </w:r>
          </w:p>
        </w:tc>
        <w:tc>
          <w:tcPr/>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operational-level agreement (OLA) defines the interdependent relationships in support of a service-level agreement (SLA);</w:t>
            </w:r>
          </w:p>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A9">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“On-Shore”</w:t>
            </w:r>
          </w:p>
        </w:tc>
        <w:tc>
          <w:tcPr/>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Services delivered from within the United Kingdom;</w:t>
            </w:r>
          </w:p>
        </w:tc>
      </w:tr>
      <w:tr>
        <w:trPr>
          <w:cantSplit w:val="0"/>
          <w:tblHeader w:val="0"/>
        </w:trPr>
        <w:tc>
          <w:tcPr/>
          <w:p w:rsidR="00000000" w:rsidDel="00000000" w:rsidP="00000000" w:rsidRDefault="00000000" w:rsidRPr="00000000" w14:paraId="000002A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2AC">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2AD">
            <w:pPr>
              <w:numPr>
                <w:ilvl w:val="1"/>
                <w:numId w:val="30"/>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82" w:hanging="85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r w:rsidDel="00000000" w:rsidR="00000000" w:rsidRPr="00000000">
              <w:rPr>
                <w:rtl w:val="0"/>
              </w:rPr>
            </w:r>
          </w:p>
          <w:p w:rsidR="00000000" w:rsidDel="00000000" w:rsidP="00000000" w:rsidRDefault="00000000" w:rsidRPr="00000000" w14:paraId="000002AE">
            <w:pPr>
              <w:numPr>
                <w:ilvl w:val="1"/>
                <w:numId w:val="3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33" w:right="282" w:hanging="850"/>
              <w:jc w:val="both"/>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r w:rsidDel="00000000" w:rsidR="00000000" w:rsidRPr="00000000">
              <w:rPr>
                <w:rtl w:val="0"/>
              </w:rPr>
            </w:r>
          </w:p>
          <w:p w:rsidR="00000000" w:rsidDel="00000000" w:rsidP="00000000" w:rsidRDefault="00000000" w:rsidRPr="00000000" w14:paraId="000002AF">
            <w:pPr>
              <w:numPr>
                <w:ilvl w:val="2"/>
                <w:numId w:val="3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 w:right="282" w:hanging="708"/>
              <w:jc w:val="both"/>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r w:rsidDel="00000000" w:rsidR="00000000" w:rsidRPr="00000000">
              <w:rPr>
                <w:rtl w:val="0"/>
              </w:rPr>
            </w:r>
          </w:p>
          <w:p w:rsidR="00000000" w:rsidDel="00000000" w:rsidP="00000000" w:rsidRDefault="00000000" w:rsidRPr="00000000" w14:paraId="000002B0">
            <w:pPr>
              <w:numPr>
                <w:ilvl w:val="2"/>
                <w:numId w:val="3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 w:right="282" w:hanging="708"/>
              <w:jc w:val="both"/>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r w:rsidDel="00000000" w:rsidR="00000000" w:rsidRPr="00000000">
              <w:rPr>
                <w:rtl w:val="0"/>
              </w:rPr>
            </w:r>
          </w:p>
          <w:p w:rsidR="00000000" w:rsidDel="00000000" w:rsidP="00000000" w:rsidRDefault="00000000" w:rsidRPr="00000000" w14:paraId="000002B1">
            <w:pPr>
              <w:numPr>
                <w:ilvl w:val="2"/>
                <w:numId w:val="3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 w:right="282" w:hanging="708"/>
              <w:jc w:val="both"/>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r w:rsidDel="00000000" w:rsidR="00000000" w:rsidRPr="00000000">
              <w:rPr>
                <w:rtl w:val="0"/>
              </w:rPr>
            </w:r>
          </w:p>
          <w:p w:rsidR="00000000" w:rsidDel="00000000" w:rsidP="00000000" w:rsidRDefault="00000000" w:rsidRPr="00000000" w14:paraId="000002B2">
            <w:pPr>
              <w:numPr>
                <w:ilvl w:val="2"/>
                <w:numId w:val="3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 w:right="282" w:hanging="708"/>
              <w:jc w:val="both"/>
              <w:rPr/>
            </w:pPr>
            <w:r w:rsidDel="00000000" w:rsidR="00000000" w:rsidRPr="00000000">
              <w:rPr>
                <w:rFonts w:ascii="Arial" w:cs="Arial" w:eastAsia="Arial" w:hAnsi="Arial"/>
                <w:color w:val="000000"/>
                <w:sz w:val="24"/>
                <w:szCs w:val="24"/>
                <w:rtl w:val="0"/>
              </w:rPr>
              <w:t xml:space="preserve">Reimbursable Expenses, if allowed under the Order Form; </w:t>
            </w:r>
            <w:r w:rsidDel="00000000" w:rsidR="00000000" w:rsidRPr="00000000">
              <w:rPr>
                <w:rtl w:val="0"/>
              </w:rPr>
            </w:r>
          </w:p>
          <w:p w:rsidR="00000000" w:rsidDel="00000000" w:rsidP="00000000" w:rsidRDefault="00000000" w:rsidRPr="00000000" w14:paraId="000002B3">
            <w:pPr>
              <w:numPr>
                <w:ilvl w:val="1"/>
                <w:numId w:val="3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33" w:right="282" w:hanging="850"/>
              <w:jc w:val="both"/>
              <w:rPr/>
            </w:pPr>
            <w:r w:rsidDel="00000000" w:rsidR="00000000" w:rsidRPr="00000000">
              <w:rPr>
                <w:rFonts w:ascii="Arial" w:cs="Arial" w:eastAsia="Arial" w:hAnsi="Arial"/>
                <w:color w:val="000000"/>
                <w:sz w:val="24"/>
                <w:szCs w:val="24"/>
                <w:rtl w:val="0"/>
              </w:rPr>
              <w:t xml:space="preserve">Overheads; </w:t>
            </w:r>
            <w:r w:rsidDel="00000000" w:rsidR="00000000" w:rsidRPr="00000000">
              <w:rPr>
                <w:rtl w:val="0"/>
              </w:rPr>
            </w:r>
          </w:p>
          <w:p w:rsidR="00000000" w:rsidDel="00000000" w:rsidP="00000000" w:rsidRDefault="00000000" w:rsidRPr="00000000" w14:paraId="000002B4">
            <w:pPr>
              <w:numPr>
                <w:ilvl w:val="1"/>
                <w:numId w:val="3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33" w:right="282" w:hanging="850"/>
              <w:jc w:val="both"/>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r w:rsidDel="00000000" w:rsidR="00000000" w:rsidRPr="00000000">
              <w:rPr>
                <w:rtl w:val="0"/>
              </w:rPr>
            </w:r>
          </w:p>
          <w:p w:rsidR="00000000" w:rsidDel="00000000" w:rsidP="00000000" w:rsidRDefault="00000000" w:rsidRPr="00000000" w14:paraId="000002B5">
            <w:pPr>
              <w:numPr>
                <w:ilvl w:val="1"/>
                <w:numId w:val="3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33" w:right="282" w:hanging="850"/>
              <w:jc w:val="both"/>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r w:rsidDel="00000000" w:rsidR="00000000" w:rsidRPr="00000000">
              <w:rPr>
                <w:rtl w:val="0"/>
              </w:rPr>
            </w:r>
          </w:p>
          <w:p w:rsidR="00000000" w:rsidDel="00000000" w:rsidP="00000000" w:rsidRDefault="00000000" w:rsidRPr="00000000" w14:paraId="000002B6">
            <w:pPr>
              <w:numPr>
                <w:ilvl w:val="1"/>
                <w:numId w:val="3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33" w:right="282" w:hanging="850"/>
              <w:jc w:val="both"/>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r w:rsidDel="00000000" w:rsidR="00000000" w:rsidRPr="00000000">
              <w:rPr>
                <w:rtl w:val="0"/>
              </w:rPr>
            </w:r>
          </w:p>
          <w:p w:rsidR="00000000" w:rsidDel="00000000" w:rsidP="00000000" w:rsidRDefault="00000000" w:rsidRPr="00000000" w14:paraId="000002B7">
            <w:pPr>
              <w:numPr>
                <w:ilvl w:val="1"/>
                <w:numId w:val="3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33" w:right="282" w:hanging="850"/>
              <w:jc w:val="both"/>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r w:rsidDel="00000000" w:rsidR="00000000" w:rsidRPr="00000000">
              <w:rPr>
                <w:rtl w:val="0"/>
              </w:rPr>
            </w:r>
          </w:p>
          <w:p w:rsidR="00000000" w:rsidDel="00000000" w:rsidP="00000000" w:rsidRDefault="00000000" w:rsidRPr="00000000" w14:paraId="000002B8">
            <w:pPr>
              <w:numPr>
                <w:ilvl w:val="1"/>
                <w:numId w:val="3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33" w:right="282" w:hanging="850"/>
              <w:jc w:val="both"/>
              <w:rPr>
                <w:rFonts w:ascii="Arial" w:cs="Arial" w:eastAsia="Arial" w:hAnsi="Arial"/>
                <w:color w:val="000000"/>
                <w:sz w:val="26"/>
                <w:szCs w:val="26"/>
              </w:rPr>
            </w:pPr>
            <w:r w:rsidDel="00000000" w:rsidR="00000000" w:rsidRPr="00000000">
              <w:rPr>
                <w:rFonts w:ascii="Arial" w:cs="Arial" w:eastAsia="Arial" w:hAnsi="Arial"/>
                <w:color w:val="000000"/>
                <w:sz w:val="24"/>
                <w:szCs w:val="24"/>
                <w:rtl w:val="0"/>
              </w:rPr>
              <w:t xml:space="preserve">the actual Costs profile for each Service Period;</w:t>
            </w:r>
            <w:r w:rsidDel="00000000" w:rsidR="00000000" w:rsidRPr="00000000">
              <w:rPr>
                <w:rtl w:val="0"/>
              </w:rPr>
            </w:r>
          </w:p>
        </w:tc>
      </w:tr>
      <w:tr>
        <w:trPr>
          <w:cantSplit w:val="0"/>
          <w:tblHeader w:val="0"/>
        </w:trPr>
        <w:tc>
          <w:tcPr/>
          <w:p w:rsidR="00000000" w:rsidDel="00000000" w:rsidP="00000000" w:rsidRDefault="00000000" w:rsidRPr="00000000" w14:paraId="000002B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2BA">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2B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2BC">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2B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2BE">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rHeight w:val="675" w:hRule="atLeast"/>
          <w:tblHeader w:val="0"/>
        </w:trPr>
        <w:tc>
          <w:tcPr/>
          <w:p w:rsidR="00000000" w:rsidDel="00000000" w:rsidP="00000000" w:rsidRDefault="00000000" w:rsidRPr="00000000" w14:paraId="000002B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2C0">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2C1">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 </w:t>
            </w:r>
          </w:p>
        </w:tc>
        <w:tc>
          <w:tcPr>
            <w:vAlign w:val="center"/>
          </w:tcPr>
          <w:p w:rsidR="00000000" w:rsidDel="00000000" w:rsidP="00000000" w:rsidRDefault="00000000" w:rsidRPr="00000000" w14:paraId="000002C2">
            <w:pPr>
              <w:pBdr>
                <w:top w:space="0" w:sz="0" w:val="nil"/>
                <w:left w:space="0" w:sz="0" w:val="nil"/>
                <w:bottom w:space="0" w:sz="0" w:val="nil"/>
                <w:right w:space="0" w:sz="0" w:val="nil"/>
                <w:between w:space="0" w:sz="0" w:val="nil"/>
              </w:pBdr>
              <w:tabs>
                <w:tab w:val="left" w:leader="none" w:pos="284"/>
              </w:tabs>
              <w:spacing w:after="120" w:lineRule="auto"/>
              <w:ind w:right="282"/>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Management Overhead and Corporate Overhead combined</w:t>
            </w:r>
            <w:r w:rsidDel="00000000" w:rsidR="00000000" w:rsidRPr="00000000">
              <w:rPr>
                <w:rFonts w:ascii="Arial" w:cs="Arial" w:eastAsia="Arial" w:hAnsi="Arial"/>
                <w:b w:val="1"/>
                <w:color w:val="000000"/>
                <w:sz w:val="24"/>
                <w:szCs w:val="24"/>
                <w:rtl w:val="0"/>
              </w:rPr>
              <w:t xml:space="preserve">;</w:t>
            </w:r>
          </w:p>
          <w:p w:rsidR="00000000" w:rsidDel="00000000" w:rsidP="00000000" w:rsidRDefault="00000000" w:rsidRPr="00000000" w14:paraId="000002C3">
            <w:pPr>
              <w:pBdr>
                <w:top w:space="0" w:sz="0" w:val="nil"/>
                <w:left w:space="0" w:sz="0" w:val="nil"/>
                <w:bottom w:space="0" w:sz="0" w:val="nil"/>
                <w:right w:space="0" w:sz="0" w:val="nil"/>
                <w:between w:space="0" w:sz="0" w:val="nil"/>
              </w:pBdr>
              <w:tabs>
                <w:tab w:val="left" w:leader="none" w:pos="284"/>
              </w:tabs>
              <w:spacing w:after="120" w:lineRule="auto"/>
              <w:ind w:left="284" w:right="282" w:firstLine="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2C4">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C5">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“Overpayments”</w:t>
            </w:r>
            <w:r w:rsidDel="00000000" w:rsidR="00000000" w:rsidRPr="00000000">
              <w:rPr>
                <w:rtl w:val="0"/>
              </w:rPr>
            </w:r>
          </w:p>
        </w:tc>
        <w:tc>
          <w:tcPr/>
          <w:p w:rsidR="00000000" w:rsidDel="00000000" w:rsidP="00000000" w:rsidRDefault="00000000" w:rsidRPr="00000000" w14:paraId="000002C6">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payment in excess of what is due;</w:t>
            </w:r>
            <w:r w:rsidDel="00000000" w:rsidR="00000000" w:rsidRPr="00000000">
              <w:rPr>
                <w:rtl w:val="0"/>
              </w:rPr>
            </w:r>
          </w:p>
        </w:tc>
      </w:tr>
      <w:tr>
        <w:trPr>
          <w:cantSplit w:val="0"/>
          <w:tblHeader w:val="0"/>
        </w:trPr>
        <w:tc>
          <w:tcPr/>
          <w:p w:rsidR="00000000" w:rsidDel="00000000" w:rsidP="00000000" w:rsidRDefault="00000000" w:rsidRPr="00000000" w14:paraId="000002C7">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“Parent Undertaking”</w:t>
            </w:r>
          </w:p>
        </w:tc>
        <w:tc>
          <w:tcPr/>
          <w:p w:rsidR="00000000" w:rsidDel="00000000" w:rsidP="00000000" w:rsidRDefault="00000000" w:rsidRPr="00000000" w14:paraId="000002C8">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2C9">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2CA">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2C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2CC">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2CD">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"Payment Processing"</w:t>
            </w:r>
            <w:r w:rsidDel="00000000" w:rsidR="00000000" w:rsidRPr="00000000">
              <w:rPr>
                <w:rtl w:val="0"/>
              </w:rPr>
            </w:r>
          </w:p>
        </w:tc>
        <w:tc>
          <w:tcPr/>
          <w:p w:rsidR="00000000" w:rsidDel="00000000" w:rsidP="00000000" w:rsidRDefault="00000000" w:rsidRPr="00000000" w14:paraId="000002CE">
            <w:pPr>
              <w:tabs>
                <w:tab w:val="left" w:leader="none" w:pos="284"/>
              </w:tabs>
              <w:spacing w:line="276" w:lineRule="auto"/>
              <w:ind w:left="284" w:right="28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transactions in regards to taking/making payments both by an agent and the front end/back end systems required.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CF">
            <w:pP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"Pass Through Costs"</w:t>
            </w:r>
          </w:p>
        </w:tc>
        <w:tc>
          <w:tcPr>
            <w:vAlign w:val="center"/>
          </w:tcPr>
          <w:p w:rsidR="00000000" w:rsidDel="00000000" w:rsidP="00000000" w:rsidRDefault="00000000" w:rsidRPr="00000000" w14:paraId="000002D0">
            <w:pPr>
              <w:tabs>
                <w:tab w:val="left" w:leader="none" w:pos="284"/>
              </w:tabs>
              <w:ind w:left="284" w:right="28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costs incurred by the Supplier in connection with the provision of the Deliverables that are passed through to the Buyer with no additional mark-ups and to which the Management Charge does not apply.</w:t>
            </w:r>
          </w:p>
        </w:tc>
      </w:tr>
      <w:tr>
        <w:trPr>
          <w:cantSplit w:val="0"/>
          <w:tblHeader w:val="0"/>
        </w:trPr>
        <w:tc>
          <w:tcPr>
            <w:vAlign w:val="center"/>
          </w:tcPr>
          <w:p w:rsidR="00000000" w:rsidDel="00000000" w:rsidP="00000000" w:rsidRDefault="00000000" w:rsidRPr="00000000" w14:paraId="000002D1">
            <w:pP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"Payment Index"</w:t>
            </w:r>
          </w:p>
        </w:tc>
        <w:tc>
          <w:tcPr>
            <w:vAlign w:val="center"/>
          </w:tcPr>
          <w:p w:rsidR="00000000" w:rsidDel="00000000" w:rsidP="00000000" w:rsidRDefault="00000000" w:rsidRPr="00000000" w14:paraId="000002D2">
            <w:pPr>
              <w:tabs>
                <w:tab w:val="left" w:leader="none" w:pos="284"/>
              </w:tabs>
              <w:ind w:left="284" w:right="28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is the index identified as such in the Order Form;</w:t>
            </w:r>
          </w:p>
        </w:tc>
      </w:tr>
      <w:tr>
        <w:trPr>
          <w:cantSplit w:val="0"/>
          <w:tblHeader w:val="0"/>
        </w:trPr>
        <w:tc>
          <w:tcPr/>
          <w:p w:rsidR="00000000" w:rsidDel="00000000" w:rsidP="00000000" w:rsidRDefault="00000000" w:rsidRPr="00000000" w14:paraId="000002D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2D4">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vAlign w:val="center"/>
          </w:tcPr>
          <w:p w:rsidR="00000000" w:rsidDel="00000000" w:rsidP="00000000" w:rsidRDefault="00000000" w:rsidRPr="00000000" w14:paraId="000002D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“Permit to Work”</w:t>
            </w:r>
            <w:r w:rsidDel="00000000" w:rsidR="00000000" w:rsidRPr="00000000">
              <w:rPr>
                <w:rtl w:val="0"/>
              </w:rPr>
            </w:r>
          </w:p>
        </w:tc>
        <w:tc>
          <w:tcPr>
            <w:vAlign w:val="center"/>
          </w:tcPr>
          <w:p w:rsidR="00000000" w:rsidDel="00000000" w:rsidP="00000000" w:rsidRDefault="00000000" w:rsidRPr="00000000" w14:paraId="000002D6">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 system that is in place where strict controls are required due to the proposed work being identified as having a high risk. The work shall be carried out against previously agreed safety procedures, a ‘permit-to-work' system;</w:t>
            </w:r>
            <w:r w:rsidDel="00000000" w:rsidR="00000000" w:rsidRPr="00000000">
              <w:rPr>
                <w:rtl w:val="0"/>
              </w:rPr>
            </w:r>
          </w:p>
        </w:tc>
      </w:tr>
      <w:tr>
        <w:trPr>
          <w:cantSplit w:val="0"/>
          <w:tblHeader w:val="0"/>
        </w:trPr>
        <w:tc>
          <w:tcPr/>
          <w:p w:rsidR="00000000" w:rsidDel="00000000" w:rsidP="00000000" w:rsidRDefault="00000000" w:rsidRPr="00000000" w14:paraId="000002D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2D8">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2D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2DA">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event that results, or may result, in unauthorised access to Personal Data held under this Contract, and/or actual or potential loss and/or destruction of Personal Data in breach of this Contract, including any Personal Data Breach as defined by UK GDPR;</w:t>
            </w:r>
          </w:p>
        </w:tc>
      </w:tr>
      <w:tr>
        <w:trPr>
          <w:cantSplit w:val="0"/>
          <w:tblHeader w:val="0"/>
        </w:trPr>
        <w:tc>
          <w:tcPr/>
          <w:p w:rsidR="00000000" w:rsidDel="00000000" w:rsidP="00000000" w:rsidRDefault="00000000" w:rsidRPr="00000000" w14:paraId="000002D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2DC">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vAlign w:val="center"/>
          </w:tcPr>
          <w:p w:rsidR="00000000" w:rsidDel="00000000" w:rsidP="00000000" w:rsidRDefault="00000000" w:rsidRPr="00000000" w14:paraId="000002DD">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“PHE”</w:t>
            </w:r>
          </w:p>
        </w:tc>
        <w:tc>
          <w:tcPr>
            <w:vAlign w:val="center"/>
          </w:tcPr>
          <w:p w:rsidR="00000000" w:rsidDel="00000000" w:rsidP="00000000" w:rsidRDefault="00000000" w:rsidRPr="00000000" w14:paraId="000002DE">
            <w:pPr>
              <w:tabs>
                <w:tab w:val="left" w:leader="none" w:pos="420"/>
              </w:tabs>
              <w:spacing w:after="240" w:before="240" w:line="276" w:lineRule="auto"/>
              <w:ind w:left="360" w:right="278"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Public Health England</w:t>
            </w:r>
          </w:p>
        </w:tc>
      </w:tr>
      <w:tr>
        <w:trPr>
          <w:cantSplit w:val="0"/>
          <w:tblHeader w:val="0"/>
        </w:trPr>
        <w:tc>
          <w:tcPr>
            <w:vAlign w:val="center"/>
          </w:tcPr>
          <w:p w:rsidR="00000000" w:rsidDel="00000000" w:rsidP="00000000" w:rsidRDefault="00000000" w:rsidRPr="00000000" w14:paraId="000002DF">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“Planned Preventative Maintenance”</w:t>
            </w:r>
          </w:p>
        </w:tc>
        <w:tc>
          <w:tcPr>
            <w:vAlign w:val="center"/>
          </w:tcPr>
          <w:p w:rsidR="00000000" w:rsidDel="00000000" w:rsidP="00000000" w:rsidRDefault="00000000" w:rsidRPr="00000000" w14:paraId="000002E0">
            <w:pPr>
              <w:tabs>
                <w:tab w:val="left" w:leader="none" w:pos="420"/>
              </w:tabs>
              <w:spacing w:after="240" w:before="240" w:line="276" w:lineRule="auto"/>
              <w:ind w:left="360" w:right="278"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maintenance strategy where maintenance tasks are scheduled ahead of time, to take place on a regular basis (e.g. in accordance with SFG20) irrespective of whether an asset is functioning normally or not.</w:t>
            </w:r>
          </w:p>
        </w:tc>
      </w:tr>
      <w:tr>
        <w:trPr>
          <w:cantSplit w:val="0"/>
          <w:tblHeader w:val="0"/>
        </w:trPr>
        <w:tc>
          <w:tcPr/>
          <w:p w:rsidR="00000000" w:rsidDel="00000000" w:rsidP="00000000" w:rsidRDefault="00000000" w:rsidRPr="00000000" w14:paraId="000002E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2E2">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10">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vAlign w:val="center"/>
          </w:tcPr>
          <w:p w:rsidR="00000000" w:rsidDel="00000000" w:rsidP="00000000" w:rsidRDefault="00000000" w:rsidRPr="00000000" w14:paraId="000002E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"Previous Service Month"</w:t>
            </w:r>
            <w:r w:rsidDel="00000000" w:rsidR="00000000" w:rsidRPr="00000000">
              <w:rPr>
                <w:rtl w:val="0"/>
              </w:rPr>
            </w:r>
          </w:p>
        </w:tc>
        <w:tc>
          <w:tcPr>
            <w:vAlign w:val="center"/>
          </w:tcPr>
          <w:p w:rsidR="00000000" w:rsidDel="00000000" w:rsidP="00000000" w:rsidRDefault="00000000" w:rsidRPr="00000000" w14:paraId="000002E4">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the Service Month (referred to as “n-1”) immediately prior to the Service Month “n” as outlined in Call-Off Schedule 5 - Pricing Details);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E5">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"Pricing Matrix"</w:t>
            </w:r>
          </w:p>
        </w:tc>
        <w:tc>
          <w:tcPr>
            <w:vAlign w:val="center"/>
          </w:tcPr>
          <w:p w:rsidR="00000000" w:rsidDel="00000000" w:rsidP="00000000" w:rsidRDefault="00000000" w:rsidRPr="00000000" w14:paraId="000002E6">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means </w:t>
            </w:r>
            <w:r w:rsidDel="00000000" w:rsidR="00000000" w:rsidRPr="00000000">
              <w:rPr>
                <w:rFonts w:ascii="Arial" w:cs="Arial" w:eastAsia="Arial" w:hAnsi="Arial"/>
                <w:color w:val="222222"/>
                <w:sz w:val="24"/>
                <w:szCs w:val="24"/>
                <w:rtl w:val="0"/>
              </w:rPr>
              <w:t xml:space="preserve">the Pricing Matrix used as part of the Call Off Procedure  (as in Call-Off Schedule 5 – Pricing Details));</w:t>
            </w:r>
            <w:r w:rsidDel="00000000" w:rsidR="00000000" w:rsidRPr="00000000">
              <w:rPr>
                <w:rtl w:val="0"/>
              </w:rPr>
            </w:r>
          </w:p>
        </w:tc>
      </w:tr>
      <w:tr>
        <w:trPr>
          <w:cantSplit w:val="0"/>
          <w:tblHeader w:val="0"/>
        </w:trPr>
        <w:tc>
          <w:tcPr/>
          <w:p w:rsidR="00000000" w:rsidDel="00000000" w:rsidP="00000000" w:rsidRDefault="00000000" w:rsidRPr="00000000" w14:paraId="000002E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2E8">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2E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2EA">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2E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2EC">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2E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2EE">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2E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2F0">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2F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2F2">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2F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2F4">
            <w:pPr>
              <w:numPr>
                <w:ilvl w:val="1"/>
                <w:numId w:val="20"/>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275" w:right="282" w:hanging="99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2F5">
            <w:pPr>
              <w:numPr>
                <w:ilvl w:val="2"/>
                <w:numId w:val="20"/>
              </w:numPr>
              <w:pBdr>
                <w:top w:space="0" w:sz="0" w:val="nil"/>
                <w:left w:space="0" w:sz="0" w:val="nil"/>
                <w:bottom w:space="0" w:sz="0" w:val="nil"/>
                <w:right w:space="0" w:sz="0" w:val="nil"/>
                <w:between w:space="0" w:sz="0" w:val="nil"/>
              </w:pBdr>
              <w:tabs>
                <w:tab w:val="left" w:leader="none" w:pos="284"/>
              </w:tabs>
              <w:spacing w:after="120" w:lineRule="auto"/>
              <w:ind w:left="1559" w:right="282" w:hanging="84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2F6">
            <w:pPr>
              <w:numPr>
                <w:ilvl w:val="2"/>
                <w:numId w:val="20"/>
              </w:numPr>
              <w:pBdr>
                <w:top w:space="0" w:sz="0" w:val="nil"/>
                <w:left w:space="0" w:sz="0" w:val="nil"/>
                <w:bottom w:space="0" w:sz="0" w:val="nil"/>
                <w:right w:space="0" w:sz="0" w:val="nil"/>
                <w:between w:space="0" w:sz="0" w:val="nil"/>
              </w:pBdr>
              <w:tabs>
                <w:tab w:val="left" w:leader="none" w:pos="284"/>
              </w:tabs>
              <w:spacing w:after="120" w:lineRule="auto"/>
              <w:ind w:left="1559" w:right="282" w:hanging="84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2F7">
            <w:pPr>
              <w:numPr>
                <w:ilvl w:val="1"/>
                <w:numId w:val="20"/>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275" w:right="282" w:hanging="99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2F8">
            <w:pPr>
              <w:numPr>
                <w:ilvl w:val="1"/>
                <w:numId w:val="20"/>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275" w:right="282" w:hanging="99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2F9">
            <w:pPr>
              <w:numPr>
                <w:ilvl w:val="2"/>
                <w:numId w:val="20"/>
              </w:numPr>
              <w:pBdr>
                <w:top w:space="0" w:sz="0" w:val="nil"/>
                <w:left w:space="0" w:sz="0" w:val="nil"/>
                <w:bottom w:space="0" w:sz="0" w:val="nil"/>
                <w:right w:space="0" w:sz="0" w:val="nil"/>
                <w:between w:space="0" w:sz="0" w:val="nil"/>
              </w:pBdr>
              <w:tabs>
                <w:tab w:val="left" w:leader="none" w:pos="1410"/>
              </w:tabs>
              <w:spacing w:after="120" w:lineRule="auto"/>
              <w:ind w:left="1700" w:right="282" w:hanging="84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2FA">
            <w:pPr>
              <w:numPr>
                <w:ilvl w:val="2"/>
                <w:numId w:val="20"/>
              </w:numPr>
              <w:pBdr>
                <w:top w:space="0" w:sz="0" w:val="nil"/>
                <w:left w:space="0" w:sz="0" w:val="nil"/>
                <w:bottom w:space="0" w:sz="0" w:val="nil"/>
                <w:right w:space="0" w:sz="0" w:val="nil"/>
                <w:between w:space="0" w:sz="0" w:val="nil"/>
              </w:pBdr>
              <w:tabs>
                <w:tab w:val="left" w:leader="none" w:pos="1410"/>
              </w:tabs>
              <w:spacing w:after="120" w:lineRule="auto"/>
              <w:ind w:left="1700" w:right="282" w:hanging="84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2FB">
            <w:pPr>
              <w:numPr>
                <w:ilvl w:val="2"/>
                <w:numId w:val="20"/>
              </w:numPr>
              <w:pBdr>
                <w:top w:space="0" w:sz="0" w:val="nil"/>
                <w:left w:space="0" w:sz="0" w:val="nil"/>
                <w:bottom w:space="0" w:sz="0" w:val="nil"/>
                <w:right w:space="0" w:sz="0" w:val="nil"/>
                <w:between w:space="0" w:sz="0" w:val="nil"/>
              </w:pBdr>
              <w:tabs>
                <w:tab w:val="left" w:leader="none" w:pos="1410"/>
              </w:tabs>
              <w:spacing w:after="120" w:lineRule="auto"/>
              <w:ind w:left="1700" w:right="282" w:hanging="84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2FC">
            <w:pPr>
              <w:numPr>
                <w:ilvl w:val="1"/>
                <w:numId w:val="20"/>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275" w:right="282" w:hanging="99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vAlign w:val="center"/>
          </w:tcPr>
          <w:p w:rsidR="00000000" w:rsidDel="00000000" w:rsidP="00000000" w:rsidRDefault="00000000" w:rsidRPr="00000000" w14:paraId="000002F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"Project"</w:t>
            </w:r>
            <w:r w:rsidDel="00000000" w:rsidR="00000000" w:rsidRPr="00000000">
              <w:rPr>
                <w:rtl w:val="0"/>
              </w:rPr>
            </w:r>
          </w:p>
        </w:tc>
        <w:tc>
          <w:tcPr>
            <w:vAlign w:val="center"/>
          </w:tcPr>
          <w:p w:rsidR="00000000" w:rsidDel="00000000" w:rsidP="00000000" w:rsidRDefault="00000000" w:rsidRPr="00000000" w14:paraId="000002FE">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works that require a defined management approach in accordance with Call Off Schedule 25 and to which the Buyer is the final arbiter;</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F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"Project Stage Uplift"</w:t>
            </w:r>
            <w:r w:rsidDel="00000000" w:rsidR="00000000" w:rsidRPr="00000000">
              <w:rPr>
                <w:rtl w:val="0"/>
              </w:rPr>
            </w:r>
          </w:p>
        </w:tc>
        <w:tc>
          <w:tcPr>
            <w:vAlign w:val="center"/>
          </w:tcPr>
          <w:p w:rsidR="00000000" w:rsidDel="00000000" w:rsidP="00000000" w:rsidRDefault="00000000" w:rsidRPr="00000000" w14:paraId="00000300">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maximum permitted rate of uplift as set out in the Pricing Matrix for a Project;</w:t>
            </w:r>
            <w:r w:rsidDel="00000000" w:rsidR="00000000" w:rsidRPr="00000000">
              <w:rPr>
                <w:rtl w:val="0"/>
              </w:rPr>
            </w:r>
          </w:p>
        </w:tc>
      </w:tr>
      <w:tr>
        <w:trPr>
          <w:cantSplit w:val="0"/>
          <w:tblHeader w:val="0"/>
        </w:trPr>
        <w:tc>
          <w:tcPr/>
          <w:p w:rsidR="00000000" w:rsidDel="00000000" w:rsidP="00000000" w:rsidRDefault="00000000" w:rsidRPr="00000000" w14:paraId="0000030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302">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vAlign w:val="center"/>
          </w:tcPr>
          <w:p w:rsidR="00000000" w:rsidDel="00000000" w:rsidP="00000000" w:rsidRDefault="00000000" w:rsidRPr="00000000" w14:paraId="0000030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"Reactive Maintenance Works"</w:t>
            </w:r>
            <w:r w:rsidDel="00000000" w:rsidR="00000000" w:rsidRPr="00000000">
              <w:rPr>
                <w:rtl w:val="0"/>
              </w:rPr>
            </w:r>
          </w:p>
        </w:tc>
        <w:tc>
          <w:tcPr>
            <w:vAlign w:val="center"/>
          </w:tcPr>
          <w:p w:rsidR="00000000" w:rsidDel="00000000" w:rsidP="00000000" w:rsidRDefault="00000000" w:rsidRPr="00000000" w14:paraId="00000304">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bookmarkStart w:colFirst="0" w:colLast="0" w:name="_heading=h.17dp8vu" w:id="8"/>
            <w:bookmarkEnd w:id="8"/>
            <w:r w:rsidDel="00000000" w:rsidR="00000000" w:rsidRPr="00000000">
              <w:rPr>
                <w:rFonts w:ascii="Arial" w:cs="Arial" w:eastAsia="Arial" w:hAnsi="Arial"/>
                <w:sz w:val="24"/>
                <w:szCs w:val="24"/>
                <w:rtl w:val="0"/>
              </w:rPr>
              <w:t xml:space="preserve">works arising as a result of a failure of an Asset or a service which is in the scope of the Call-Off Contract (and for the avoidance of doubt are not Small Works or Projects);</w:t>
            </w:r>
            <w:r w:rsidDel="00000000" w:rsidR="00000000" w:rsidRPr="00000000">
              <w:rPr>
                <w:rtl w:val="0"/>
              </w:rPr>
            </w:r>
          </w:p>
        </w:tc>
      </w:tr>
      <w:tr>
        <w:trPr>
          <w:cantSplit w:val="0"/>
          <w:tblHeader w:val="0"/>
        </w:trPr>
        <w:tc>
          <w:tcPr/>
          <w:p w:rsidR="00000000" w:rsidDel="00000000" w:rsidP="00000000" w:rsidRDefault="00000000" w:rsidRPr="00000000" w14:paraId="0000030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Agency”</w:t>
            </w:r>
          </w:p>
        </w:tc>
        <w:tc>
          <w:tcPr/>
          <w:p w:rsidR="00000000" w:rsidDel="00000000" w:rsidP="00000000" w:rsidRDefault="00000000" w:rsidRPr="00000000" w14:paraId="00000306">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defined in the Framework Award Form or the Order Form, as the context requires;</w:t>
            </w:r>
          </w:p>
        </w:tc>
      </w:tr>
      <w:tr>
        <w:trPr>
          <w:cantSplit w:val="0"/>
          <w:tblHeader w:val="0"/>
        </w:trPr>
        <w:tc>
          <w:tcPr/>
          <w:p w:rsidR="00000000" w:rsidDel="00000000" w:rsidP="00000000" w:rsidRDefault="00000000" w:rsidRPr="00000000" w14:paraId="0000030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“RBAC”</w:t>
            </w:r>
            <w:r w:rsidDel="00000000" w:rsidR="00000000" w:rsidRPr="00000000">
              <w:rPr>
                <w:rtl w:val="0"/>
              </w:rPr>
            </w:r>
          </w:p>
        </w:tc>
        <w:tc>
          <w:tcPr/>
          <w:p w:rsidR="00000000" w:rsidDel="00000000" w:rsidP="00000000" w:rsidRDefault="00000000" w:rsidRPr="00000000" w14:paraId="00000308">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role-based access control (RBAC) restricts network access based on a person's role within an organization</w:t>
            </w:r>
          </w:p>
        </w:tc>
      </w:tr>
      <w:tr>
        <w:trPr>
          <w:cantSplit w:val="0"/>
          <w:tblHeader w:val="0"/>
        </w:trPr>
        <w:tc>
          <w:tcPr/>
          <w:p w:rsidR="00000000" w:rsidDel="00000000" w:rsidP="00000000" w:rsidRDefault="00000000" w:rsidRPr="00000000" w14:paraId="0000030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30A">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30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30C">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30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30E">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30F">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275" w:right="282" w:hanging="99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310">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275" w:right="282" w:hanging="99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311">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275" w:right="282" w:hanging="99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31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313">
            <w:pPr>
              <w:pBdr>
                <w:top w:space="0" w:sz="0" w:val="nil"/>
                <w:left w:space="0" w:sz="0" w:val="nil"/>
                <w:bottom w:space="0" w:sz="0" w:val="nil"/>
                <w:right w:space="0" w:sz="0" w:val="nil"/>
                <w:between w:space="0" w:sz="0" w:val="nil"/>
              </w:pBdr>
              <w:tabs>
                <w:tab w:val="left" w:leader="none" w:pos="-179"/>
              </w:tabs>
              <w:spacing w:after="120" w:lineRule="auto"/>
              <w:ind w:left="1275"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31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315">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31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317">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318">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319">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31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31B">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31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31D">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31E">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31F">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32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321">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322">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323">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324">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“Relevant Transfer”</w:t>
            </w:r>
            <w:r w:rsidDel="00000000" w:rsidR="00000000" w:rsidRPr="00000000">
              <w:rPr>
                <w:rtl w:val="0"/>
              </w:rPr>
            </w:r>
          </w:p>
        </w:tc>
        <w:tc>
          <w:tcPr/>
          <w:p w:rsidR="00000000" w:rsidDel="00000000" w:rsidP="00000000" w:rsidRDefault="00000000" w:rsidRPr="00000000" w14:paraId="00000325">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transfer of employment to which the Employment Regulations applies, and for the purposes of Schedule 28 (TUPE Surcharge) paragraphs 2.1.1 &amp; 2.2.2 only, shall include the situation where the Former Supplier becomes the Supplier on the Start Date;</w:t>
            </w:r>
          </w:p>
          <w:p w:rsidR="00000000" w:rsidDel="00000000" w:rsidP="00000000" w:rsidRDefault="00000000" w:rsidRPr="00000000" w14:paraId="00000326">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32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328">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32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 or Replacement Services"</w:t>
            </w:r>
          </w:p>
        </w:tc>
        <w:tc>
          <w:tcPr/>
          <w:p w:rsidR="00000000" w:rsidDel="00000000" w:rsidP="00000000" w:rsidRDefault="00000000" w:rsidRPr="00000000" w14:paraId="0000032A">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goods/services which are substantially similar to any of the Deliverables and which the Buyer receives in substitution for any of the Deliverables following the Call-Off Expiry Date, whether those goods/services are provided by the Buyer internally and/or by any third party;</w:t>
            </w:r>
          </w:p>
        </w:tc>
      </w:tr>
      <w:tr>
        <w:trPr>
          <w:cantSplit w:val="0"/>
          <w:tblHeader w:val="0"/>
        </w:trPr>
        <w:tc>
          <w:tcPr>
            <w:vAlign w:val="center"/>
          </w:tcPr>
          <w:p w:rsidR="00000000" w:rsidDel="00000000" w:rsidP="00000000" w:rsidRDefault="00000000" w:rsidRPr="00000000" w14:paraId="0000032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“Replacement Equipment”</w:t>
            </w:r>
            <w:r w:rsidDel="00000000" w:rsidR="00000000" w:rsidRPr="00000000">
              <w:rPr>
                <w:rtl w:val="0"/>
              </w:rPr>
            </w:r>
          </w:p>
        </w:tc>
        <w:tc>
          <w:tcPr>
            <w:vAlign w:val="center"/>
          </w:tcPr>
          <w:p w:rsidR="00000000" w:rsidDel="00000000" w:rsidP="00000000" w:rsidRDefault="00000000" w:rsidRPr="00000000" w14:paraId="0000032C">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plant, assets, spare parts, equipment, replacement parts, materials and other items (whether or not reused or reconditioned) supplied by the Supplier in order to deliver the required Services and as outlined in the Specification</w:t>
            </w:r>
            <w:r w:rsidDel="00000000" w:rsidR="00000000" w:rsidRPr="00000000">
              <w:rPr>
                <w:rtl w:val="0"/>
              </w:rPr>
            </w:r>
          </w:p>
        </w:tc>
      </w:tr>
      <w:tr>
        <w:trPr>
          <w:cantSplit w:val="0"/>
          <w:tblHeader w:val="0"/>
        </w:trPr>
        <w:tc>
          <w:tcPr/>
          <w:p w:rsidR="00000000" w:rsidDel="00000000" w:rsidP="00000000" w:rsidRDefault="00000000" w:rsidRPr="00000000" w14:paraId="0000032D">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32E">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32F">
            <w:pPr>
              <w:pBdr>
                <w:top w:space="0" w:sz="0" w:val="nil"/>
                <w:left w:space="0" w:sz="0" w:val="nil"/>
                <w:bottom w:space="0" w:sz="0" w:val="nil"/>
                <w:right w:space="0" w:sz="0" w:val="nil"/>
                <w:between w:space="0" w:sz="0" w:val="nil"/>
              </w:pBdr>
              <w:spacing w:after="120" w:lineRule="auto"/>
              <w:ind w:left="284" w:right="28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330">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vAlign w:val="center"/>
          </w:tcPr>
          <w:p w:rsidR="00000000" w:rsidDel="00000000" w:rsidP="00000000" w:rsidRDefault="00000000" w:rsidRPr="00000000" w14:paraId="0000033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"Resource Rates"</w:t>
            </w:r>
            <w:r w:rsidDel="00000000" w:rsidR="00000000" w:rsidRPr="00000000">
              <w:rPr>
                <w:rtl w:val="0"/>
              </w:rPr>
            </w:r>
          </w:p>
        </w:tc>
        <w:tc>
          <w:tcPr>
            <w:vAlign w:val="center"/>
          </w:tcPr>
          <w:p w:rsidR="00000000" w:rsidDel="00000000" w:rsidP="00000000" w:rsidRDefault="00000000" w:rsidRPr="00000000" w14:paraId="00000332">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those rates provided by the Supplier and as set out in the Pricing Matrix</w:t>
            </w:r>
            <w:r w:rsidDel="00000000" w:rsidR="00000000" w:rsidRPr="00000000">
              <w:rPr>
                <w:rtl w:val="0"/>
              </w:rPr>
            </w:r>
          </w:p>
        </w:tc>
      </w:tr>
      <w:tr>
        <w:trPr>
          <w:cantSplit w:val="0"/>
          <w:tblHeader w:val="0"/>
        </w:trPr>
        <w:tc>
          <w:tcPr/>
          <w:p w:rsidR="00000000" w:rsidDel="00000000" w:rsidP="00000000" w:rsidRDefault="00000000" w:rsidRPr="00000000" w14:paraId="0000033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334">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33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336">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33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“Resource Efficiency Plan”</w:t>
            </w:r>
            <w:r w:rsidDel="00000000" w:rsidR="00000000" w:rsidRPr="00000000">
              <w:rPr>
                <w:rtl w:val="0"/>
              </w:rPr>
            </w:r>
          </w:p>
        </w:tc>
        <w:tc>
          <w:tcPr/>
          <w:p w:rsidR="00000000" w:rsidDel="00000000" w:rsidP="00000000" w:rsidRDefault="00000000" w:rsidRPr="00000000" w14:paraId="00000338">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given to it in Paragraph 14.10-14.11 of Framework Schedule 1 - Specification, Part B Contract Management</w:t>
            </w:r>
            <w:r w:rsidDel="00000000" w:rsidR="00000000" w:rsidRPr="00000000">
              <w:rPr>
                <w:rtl w:val="0"/>
              </w:rPr>
            </w:r>
          </w:p>
        </w:tc>
      </w:tr>
      <w:tr>
        <w:trPr>
          <w:cantSplit w:val="0"/>
          <w:tblHeader w:val="0"/>
        </w:trPr>
        <w:tc>
          <w:tcPr/>
          <w:p w:rsidR="00000000" w:rsidDel="00000000" w:rsidP="00000000" w:rsidRDefault="00000000" w:rsidRPr="00000000" w14:paraId="0000033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“RIDDOR”</w:t>
            </w:r>
            <w:r w:rsidDel="00000000" w:rsidR="00000000" w:rsidRPr="00000000">
              <w:rPr>
                <w:rtl w:val="0"/>
              </w:rPr>
            </w:r>
          </w:p>
        </w:tc>
        <w:tc>
          <w:tcPr/>
          <w:p w:rsidR="00000000" w:rsidDel="00000000" w:rsidP="00000000" w:rsidRDefault="00000000" w:rsidRPr="00000000" w14:paraId="0000033A">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Reporting of Injuries, Diseases and Dangerous Occurrences Regulations</w:t>
            </w:r>
            <w:r w:rsidDel="00000000" w:rsidR="00000000" w:rsidRPr="00000000">
              <w:rPr>
                <w:rtl w:val="0"/>
              </w:rPr>
            </w:r>
          </w:p>
        </w:tc>
      </w:tr>
      <w:tr>
        <w:trPr>
          <w:cantSplit w:val="0"/>
          <w:tblHeader w:val="0"/>
        </w:trPr>
        <w:tc>
          <w:tcPr/>
          <w:p w:rsidR="00000000" w:rsidDel="00000000" w:rsidP="00000000" w:rsidRDefault="00000000" w:rsidRPr="00000000" w14:paraId="0000033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“RTI”</w:t>
            </w:r>
            <w:r w:rsidDel="00000000" w:rsidR="00000000" w:rsidRPr="00000000">
              <w:rPr>
                <w:rtl w:val="0"/>
              </w:rPr>
            </w:r>
          </w:p>
        </w:tc>
        <w:tc>
          <w:tcPr/>
          <w:p w:rsidR="00000000" w:rsidDel="00000000" w:rsidP="00000000" w:rsidRDefault="00000000" w:rsidRPr="00000000" w14:paraId="0000033C">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Real Time Information</w:t>
            </w:r>
            <w:r w:rsidDel="00000000" w:rsidR="00000000" w:rsidRPr="00000000">
              <w:rPr>
                <w:rtl w:val="0"/>
              </w:rPr>
            </w:r>
          </w:p>
        </w:tc>
      </w:tr>
      <w:tr>
        <w:trPr>
          <w:cantSplit w:val="0"/>
          <w:tblHeader w:val="0"/>
        </w:trPr>
        <w:tc>
          <w:tcPr/>
          <w:p w:rsidR="00000000" w:rsidDel="00000000" w:rsidP="00000000" w:rsidRDefault="00000000" w:rsidRPr="00000000" w14:paraId="0000033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33E">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(Mobilisation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33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340">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341">
            <w:pPr>
              <w:pBdr>
                <w:top w:space="0" w:sz="0" w:val="nil"/>
                <w:left w:space="0" w:sz="0" w:val="nil"/>
                <w:bottom w:space="0" w:sz="0" w:val="nil"/>
                <w:right w:space="0" w:sz="0" w:val="nil"/>
                <w:between w:space="0" w:sz="0" w:val="nil"/>
              </w:pBdr>
              <w:spacing w:after="120" w:lineRule="auto"/>
              <w:ind w:left="284" w:right="28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342">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34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344">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34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346">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vAlign w:val="center"/>
          </w:tcPr>
          <w:p w:rsidR="00000000" w:rsidDel="00000000" w:rsidP="00000000" w:rsidRDefault="00000000" w:rsidRPr="00000000" w14:paraId="0000034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“Service Delivery Plan”</w:t>
            </w:r>
            <w:r w:rsidDel="00000000" w:rsidR="00000000" w:rsidRPr="00000000">
              <w:rPr>
                <w:rtl w:val="0"/>
              </w:rPr>
            </w:r>
          </w:p>
        </w:tc>
        <w:tc>
          <w:tcPr>
            <w:vAlign w:val="center"/>
          </w:tcPr>
          <w:p w:rsidR="00000000" w:rsidDel="00000000" w:rsidP="00000000" w:rsidRDefault="00000000" w:rsidRPr="00000000" w14:paraId="00000348">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the plan to be provided by the Supplier which details how the Supplier will deliver all elements of the Services required under the Contract</w:t>
            </w:r>
            <w:r w:rsidDel="00000000" w:rsidR="00000000" w:rsidRPr="00000000">
              <w:rPr>
                <w:rtl w:val="0"/>
              </w:rPr>
            </w:r>
          </w:p>
        </w:tc>
      </w:tr>
      <w:tr>
        <w:trPr>
          <w:cantSplit w:val="0"/>
          <w:tblHeader w:val="0"/>
        </w:trPr>
        <w:tc>
          <w:tcPr/>
          <w:p w:rsidR="00000000" w:rsidDel="00000000" w:rsidP="00000000" w:rsidRDefault="00000000" w:rsidRPr="00000000" w14:paraId="0000034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“Service Delivery”</w:t>
            </w:r>
            <w:r w:rsidDel="00000000" w:rsidR="00000000" w:rsidRPr="00000000">
              <w:rPr>
                <w:rtl w:val="0"/>
              </w:rPr>
            </w:r>
          </w:p>
        </w:tc>
        <w:tc>
          <w:tcPr/>
          <w:p w:rsidR="00000000" w:rsidDel="00000000" w:rsidP="00000000" w:rsidRDefault="00000000" w:rsidRPr="00000000" w14:paraId="0000034A">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act of delivering a service to customers;</w:t>
            </w:r>
            <w:r w:rsidDel="00000000" w:rsidR="00000000" w:rsidRPr="00000000">
              <w:rPr>
                <w:rtl w:val="0"/>
              </w:rPr>
            </w:r>
          </w:p>
        </w:tc>
      </w:tr>
      <w:tr>
        <w:trPr>
          <w:cantSplit w:val="0"/>
          <w:tblHeader w:val="0"/>
        </w:trPr>
        <w:tc>
          <w:tcPr/>
          <w:p w:rsidR="00000000" w:rsidDel="00000000" w:rsidP="00000000" w:rsidRDefault="00000000" w:rsidRPr="00000000" w14:paraId="0000034B">
            <w:pPr>
              <w:pBdr>
                <w:top w:space="0" w:sz="0" w:val="nil"/>
                <w:left w:space="0" w:sz="0" w:val="nil"/>
                <w:bottom w:space="0" w:sz="0" w:val="nil"/>
                <w:right w:space="0" w:sz="0" w:val="nil"/>
                <w:between w:space="0" w:sz="0" w:val="nil"/>
              </w:pBdr>
              <w:spacing w:after="120" w:lineRule="auto"/>
              <w:ind w:left="284" w:right="28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“Service Level Agreement"</w:t>
            </w:r>
            <w:r w:rsidDel="00000000" w:rsidR="00000000" w:rsidRPr="00000000">
              <w:rPr>
                <w:rtl w:val="0"/>
              </w:rPr>
            </w:r>
          </w:p>
        </w:tc>
        <w:tc>
          <w:tcPr/>
          <w:p w:rsidR="00000000" w:rsidDel="00000000" w:rsidP="00000000" w:rsidRDefault="00000000" w:rsidRPr="00000000" w14:paraId="0000034C">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 agreement between the Supplier of a Service and its customer, which quantifies the minimum Service Levels which meets business needs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4D">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Month"</w:t>
            </w:r>
          </w:p>
        </w:tc>
        <w:tc>
          <w:tcPr>
            <w:vAlign w:val="center"/>
          </w:tcPr>
          <w:p w:rsidR="00000000" w:rsidDel="00000000" w:rsidP="00000000" w:rsidRDefault="00000000" w:rsidRPr="00000000" w14:paraId="0000034E">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monthly period (or part of a Month at the start and end of the Contract Period where applicable) during which Deliverables are provided by the Supplier;</w:t>
            </w:r>
          </w:p>
        </w:tc>
      </w:tr>
      <w:tr>
        <w:trPr>
          <w:cantSplit w:val="0"/>
          <w:tblHeader w:val="0"/>
        </w:trPr>
        <w:tc>
          <w:tcPr/>
          <w:p w:rsidR="00000000" w:rsidDel="00000000" w:rsidP="00000000" w:rsidRDefault="00000000" w:rsidRPr="00000000" w14:paraId="0000034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350">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351">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352">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353">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Requirement Filter”</w:t>
            </w:r>
          </w:p>
        </w:tc>
        <w:tc>
          <w:tcPr/>
          <w:p w:rsidR="00000000" w:rsidDel="00000000" w:rsidP="00000000" w:rsidRDefault="00000000" w:rsidRPr="00000000" w14:paraId="00000354">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filters that include: Service, Estimated Contract Cost, and Geographical Boundaries that the Buyer will use to create a Supplier shortlist;</w:t>
            </w:r>
          </w:p>
        </w:tc>
      </w:tr>
      <w:tr>
        <w:trPr>
          <w:cantSplit w:val="0"/>
          <w:tblHeader w:val="0"/>
        </w:trPr>
        <w:tc>
          <w:tcPr/>
          <w:p w:rsidR="00000000" w:rsidDel="00000000" w:rsidP="00000000" w:rsidRDefault="00000000" w:rsidRPr="00000000" w14:paraId="00000355">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356">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35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358">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5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“Shared Services Strategy”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5A">
            <w:pPr>
              <w:spacing w:line="276" w:lineRule="auto"/>
              <w:ind w:left="284" w:right="282" w:firstLine="0"/>
              <w:rPr>
                <w:rFonts w:ascii="Arial" w:cs="Arial" w:eastAsia="Arial" w:hAnsi="Arial"/>
                <w:sz w:val="24"/>
                <w:szCs w:val="24"/>
              </w:rPr>
            </w:pPr>
            <w:r w:rsidDel="00000000" w:rsidR="00000000" w:rsidRPr="00000000">
              <w:rPr>
                <w:rFonts w:ascii="Arial" w:cs="Arial" w:eastAsia="Arial" w:hAnsi="Arial"/>
                <w:color w:val="202124"/>
                <w:sz w:val="24"/>
                <w:szCs w:val="24"/>
                <w:rtl w:val="0"/>
              </w:rPr>
              <w:t xml:space="preserve">a delivery model for the effective and efficient delivery of non-core </w:t>
            </w:r>
            <w:r w:rsidDel="00000000" w:rsidR="00000000" w:rsidRPr="00000000">
              <w:rPr>
                <w:rFonts w:ascii="Arial" w:cs="Arial" w:eastAsia="Arial" w:hAnsi="Arial"/>
                <w:b w:val="1"/>
                <w:color w:val="202124"/>
                <w:sz w:val="24"/>
                <w:szCs w:val="24"/>
                <w:rtl w:val="0"/>
              </w:rPr>
              <w:t xml:space="preserve">services</w:t>
            </w:r>
            <w:r w:rsidDel="00000000" w:rsidR="00000000" w:rsidRPr="00000000">
              <w:rPr>
                <w:rFonts w:ascii="Arial" w:cs="Arial" w:eastAsia="Arial" w:hAnsi="Arial"/>
                <w:color w:val="202124"/>
                <w:sz w:val="24"/>
                <w:szCs w:val="24"/>
                <w:rtl w:val="0"/>
              </w:rPr>
              <w:t xml:space="preserve"> to the business. It employs a specialist team, geographically unconstrained, and focuses on the requirements of the customer</w:t>
            </w:r>
            <w:r w:rsidDel="00000000" w:rsidR="00000000" w:rsidRPr="00000000">
              <w:rPr>
                <w:rtl w:val="0"/>
              </w:rPr>
            </w:r>
          </w:p>
        </w:tc>
      </w:tr>
      <w:tr>
        <w:trPr>
          <w:cantSplit w:val="0"/>
          <w:tblHeader w:val="0"/>
        </w:trPr>
        <w:tc>
          <w:tcPr/>
          <w:p w:rsidR="00000000" w:rsidDel="00000000" w:rsidP="00000000" w:rsidRDefault="00000000" w:rsidRPr="00000000" w14:paraId="0000035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35C">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35D">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w:t>
            </w:r>
          </w:p>
          <w:p w:rsidR="00000000" w:rsidDel="00000000" w:rsidP="00000000" w:rsidRDefault="00000000" w:rsidRPr="00000000" w14:paraId="0000035E">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 or</w:t>
            </w:r>
          </w:p>
          <w:p w:rsidR="00000000" w:rsidDel="00000000" w:rsidP="00000000" w:rsidRDefault="00000000" w:rsidRPr="00000000" w14:paraId="0000035F">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360">
            <w:pPr>
              <w:pBdr>
                <w:top w:space="0" w:sz="0" w:val="nil"/>
                <w:left w:space="0" w:sz="0" w:val="nil"/>
                <w:bottom w:space="0" w:sz="0" w:val="nil"/>
                <w:right w:space="0" w:sz="0" w:val="nil"/>
                <w:between w:space="0" w:sz="0" w:val="nil"/>
              </w:pBdr>
              <w:tabs>
                <w:tab w:val="left" w:leader="none" w:pos="-576"/>
                <w:tab w:val="left" w:leader="none" w:pos="144"/>
              </w:tabs>
              <w:spacing w:after="120" w:lineRule="auto"/>
              <w:ind w:right="28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of the Supplier Equipment or any part of the Supplier’s systems used in the performance of the Contract are</w:t>
            </w:r>
          </w:p>
          <w:p w:rsidR="00000000" w:rsidDel="00000000" w:rsidP="00000000" w:rsidRDefault="00000000" w:rsidRPr="00000000" w14:paraId="00000361">
            <w:pPr>
              <w:pBdr>
                <w:top w:space="0" w:sz="0" w:val="nil"/>
                <w:left w:space="0" w:sz="0" w:val="nil"/>
                <w:bottom w:space="0" w:sz="0" w:val="nil"/>
                <w:right w:space="0" w:sz="0" w:val="nil"/>
                <w:between w:space="0" w:sz="0" w:val="nil"/>
              </w:pBdr>
              <w:tabs>
                <w:tab w:val="left" w:leader="none" w:pos="-576"/>
                <w:tab w:val="left" w:leader="none" w:pos="144"/>
              </w:tabs>
              <w:spacing w:after="120" w:lineRule="auto"/>
              <w:ind w:right="28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located (including but not limited to where any part of the Deliverables provided falls within Call-Off Schedule 6 (ICT Services);</w:t>
            </w:r>
          </w:p>
        </w:tc>
      </w:tr>
      <w:tr>
        <w:trPr>
          <w:cantSplit w:val="0"/>
          <w:tblHeader w:val="0"/>
        </w:trPr>
        <w:tc>
          <w:tcPr>
            <w:vAlign w:val="center"/>
          </w:tcPr>
          <w:p w:rsidR="00000000" w:rsidDel="00000000" w:rsidP="00000000" w:rsidRDefault="00000000" w:rsidRPr="00000000" w14:paraId="0000036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Small Works"</w:t>
            </w:r>
            <w:r w:rsidDel="00000000" w:rsidR="00000000" w:rsidRPr="00000000">
              <w:rPr>
                <w:rtl w:val="0"/>
              </w:rPr>
            </w:r>
          </w:p>
        </w:tc>
        <w:tc>
          <w:tcPr>
            <w:vAlign w:val="center"/>
          </w:tcPr>
          <w:p w:rsidR="00000000" w:rsidDel="00000000" w:rsidP="00000000" w:rsidRDefault="00000000" w:rsidRPr="00000000" w14:paraId="00000363">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elective works which are not Projects;</w:t>
            </w:r>
            <w:r w:rsidDel="00000000" w:rsidR="00000000" w:rsidRPr="00000000">
              <w:rPr>
                <w:rtl w:val="0"/>
              </w:rPr>
            </w:r>
          </w:p>
        </w:tc>
      </w:tr>
      <w:tr>
        <w:trPr>
          <w:cantSplit w:val="0"/>
          <w:trHeight w:val="945" w:hRule="atLeast"/>
          <w:tblHeader w:val="0"/>
        </w:trPr>
        <w:tc>
          <w:tcPr/>
          <w:p w:rsidR="00000000" w:rsidDel="00000000" w:rsidP="00000000" w:rsidRDefault="00000000" w:rsidRPr="00000000" w14:paraId="00000364">
            <w:pPr>
              <w:pBdr>
                <w:top w:space="0" w:sz="0" w:val="nil"/>
                <w:left w:space="0" w:sz="0" w:val="nil"/>
                <w:bottom w:space="0" w:sz="0" w:val="nil"/>
                <w:right w:space="0" w:sz="0" w:val="nil"/>
                <w:between w:space="0" w:sz="0" w:val="nil"/>
              </w:pBdr>
              <w:spacing w:after="120" w:lineRule="auto"/>
              <w:ind w:right="28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365">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36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367">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36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369">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36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36B">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36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“Standard Service Levels”</w:t>
            </w:r>
            <w:r w:rsidDel="00000000" w:rsidR="00000000" w:rsidRPr="00000000">
              <w:rPr>
                <w:rtl w:val="0"/>
              </w:rPr>
            </w:r>
          </w:p>
        </w:tc>
        <w:tc>
          <w:tcPr/>
          <w:p w:rsidR="00000000" w:rsidDel="00000000" w:rsidP="00000000" w:rsidRDefault="00000000" w:rsidRPr="00000000" w14:paraId="0000036D">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all Service Levels other than those designated as Key Performance Indicators</w:t>
            </w:r>
            <w:r w:rsidDel="00000000" w:rsidR="00000000" w:rsidRPr="00000000">
              <w:rPr>
                <w:rtl w:val="0"/>
              </w:rPr>
            </w:r>
          </w:p>
        </w:tc>
      </w:tr>
      <w:tr>
        <w:trPr>
          <w:cantSplit w:val="0"/>
          <w:tblHeader w:val="0"/>
        </w:trPr>
        <w:tc>
          <w:tcPr/>
          <w:p w:rsidR="00000000" w:rsidDel="00000000" w:rsidP="00000000" w:rsidRDefault="00000000" w:rsidRPr="00000000" w14:paraId="0000036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36F">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370">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371">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372">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373">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vAlign w:val="center"/>
          </w:tcPr>
          <w:p w:rsidR="00000000" w:rsidDel="00000000" w:rsidP="00000000" w:rsidRDefault="00000000" w:rsidRPr="00000000" w14:paraId="0000037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“Standard Service”</w:t>
            </w:r>
            <w:r w:rsidDel="00000000" w:rsidR="00000000" w:rsidRPr="00000000">
              <w:rPr>
                <w:rtl w:val="0"/>
              </w:rPr>
            </w:r>
          </w:p>
        </w:tc>
        <w:tc>
          <w:tcPr>
            <w:vAlign w:val="center"/>
          </w:tcPr>
          <w:p w:rsidR="00000000" w:rsidDel="00000000" w:rsidP="00000000" w:rsidRDefault="00000000" w:rsidRPr="00000000" w14:paraId="00000375">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delivery of the service to the defined standard as per Framework Schedule 1 – Specification.</w:t>
            </w:r>
            <w:r w:rsidDel="00000000" w:rsidR="00000000" w:rsidRPr="00000000">
              <w:rPr>
                <w:rtl w:val="0"/>
              </w:rPr>
            </w:r>
          </w:p>
        </w:tc>
      </w:tr>
      <w:tr>
        <w:trPr>
          <w:cantSplit w:val="0"/>
          <w:tblHeader w:val="0"/>
        </w:trPr>
        <w:tc>
          <w:tcPr/>
          <w:p w:rsidR="00000000" w:rsidDel="00000000" w:rsidP="00000000" w:rsidRDefault="00000000" w:rsidRPr="00000000" w14:paraId="0000037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377">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378">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379">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37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“Stock and Asset Management Plan”</w:t>
            </w:r>
            <w:r w:rsidDel="00000000" w:rsidR="00000000" w:rsidRPr="00000000">
              <w:rPr>
                <w:rtl w:val="0"/>
              </w:rPr>
            </w:r>
          </w:p>
        </w:tc>
        <w:tc>
          <w:tcPr/>
          <w:p w:rsidR="00000000" w:rsidDel="00000000" w:rsidP="00000000" w:rsidRDefault="00000000" w:rsidRPr="00000000" w14:paraId="0000037B">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given to it in Paragraph 14.9 of Framework Schedule 1 - Specification, Part B Contract Management</w:t>
            </w:r>
            <w:r w:rsidDel="00000000" w:rsidR="00000000" w:rsidRPr="00000000">
              <w:rPr>
                <w:rtl w:val="0"/>
              </w:rPr>
            </w:r>
          </w:p>
        </w:tc>
      </w:tr>
      <w:tr>
        <w:trPr>
          <w:cantSplit w:val="0"/>
          <w:tblHeader w:val="0"/>
        </w:trPr>
        <w:tc>
          <w:tcPr/>
          <w:p w:rsidR="00000000" w:rsidDel="00000000" w:rsidP="00000000" w:rsidRDefault="00000000" w:rsidRPr="00000000" w14:paraId="0000037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37D">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37E">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37F">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380">
            <w:pPr>
              <w:numPr>
                <w:ilvl w:val="0"/>
                <w:numId w:val="9"/>
              </w:numPr>
              <w:pBdr>
                <w:top w:space="0" w:sz="0" w:val="nil"/>
                <w:left w:space="0" w:sz="0" w:val="nil"/>
                <w:bottom w:space="0" w:sz="0" w:val="nil"/>
                <w:right w:space="0" w:sz="0" w:val="nil"/>
                <w:between w:space="0" w:sz="0" w:val="nil"/>
              </w:pBdr>
              <w:tabs>
                <w:tab w:val="left" w:leader="none" w:pos="-179"/>
              </w:tabs>
              <w:spacing w:after="120" w:line="276"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381">
            <w:pPr>
              <w:numPr>
                <w:ilvl w:val="0"/>
                <w:numId w:val="9"/>
              </w:numPr>
              <w:pBdr>
                <w:top w:space="0" w:sz="0" w:val="nil"/>
                <w:left w:space="0" w:sz="0" w:val="nil"/>
                <w:bottom w:space="0" w:sz="0" w:val="nil"/>
                <w:right w:space="0" w:sz="0" w:val="nil"/>
                <w:between w:space="0" w:sz="0" w:val="nil"/>
              </w:pBdr>
              <w:tabs>
                <w:tab w:val="left" w:leader="none" w:pos="-179"/>
              </w:tabs>
              <w:spacing w:after="120" w:line="276"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382">
            <w:pPr>
              <w:numPr>
                <w:ilvl w:val="0"/>
                <w:numId w:val="9"/>
              </w:numPr>
              <w:pBdr>
                <w:top w:space="0" w:sz="0" w:val="nil"/>
                <w:left w:space="0" w:sz="0" w:val="nil"/>
                <w:bottom w:space="0" w:sz="0" w:val="nil"/>
                <w:right w:space="0" w:sz="0" w:val="nil"/>
                <w:between w:space="0" w:sz="0" w:val="nil"/>
              </w:pBdr>
              <w:tabs>
                <w:tab w:val="left" w:leader="none" w:pos="-179"/>
              </w:tabs>
              <w:spacing w:after="120" w:line="276"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38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384">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38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“Subject Access Request”</w:t>
            </w:r>
            <w:r w:rsidDel="00000000" w:rsidR="00000000" w:rsidRPr="00000000">
              <w:rPr>
                <w:rtl w:val="0"/>
              </w:rPr>
            </w:r>
          </w:p>
        </w:tc>
        <w:tc>
          <w:tcPr/>
          <w:p w:rsidR="00000000" w:rsidDel="00000000" w:rsidP="00000000" w:rsidRDefault="00000000" w:rsidRPr="00000000" w14:paraId="00000386">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written request to a company or organisation asking for access to the personal information it holds on you;</w:t>
            </w:r>
            <w:r w:rsidDel="00000000" w:rsidR="00000000" w:rsidRPr="00000000">
              <w:rPr>
                <w:rtl w:val="0"/>
              </w:rPr>
            </w:r>
          </w:p>
        </w:tc>
      </w:tr>
      <w:tr>
        <w:trPr>
          <w:cantSplit w:val="0"/>
          <w:tblHeader w:val="0"/>
        </w:trPr>
        <w:tc>
          <w:tcPr/>
          <w:p w:rsidR="00000000" w:rsidDel="00000000" w:rsidP="00000000" w:rsidRDefault="00000000" w:rsidRPr="00000000" w14:paraId="0000038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388">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38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“Subsidiary Undertaking”</w:t>
            </w:r>
          </w:p>
        </w:tc>
        <w:tc>
          <w:tcPr/>
          <w:p w:rsidR="00000000" w:rsidDel="00000000" w:rsidP="00000000" w:rsidRDefault="00000000" w:rsidRPr="00000000" w14:paraId="0000038A">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38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Group”</w:t>
            </w:r>
          </w:p>
        </w:tc>
        <w:tc>
          <w:tcPr/>
          <w:p w:rsidR="00000000" w:rsidDel="00000000" w:rsidP="00000000" w:rsidRDefault="00000000" w:rsidRPr="00000000" w14:paraId="0000038C">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 </w:t>
            </w:r>
          </w:p>
        </w:tc>
      </w:tr>
      <w:tr>
        <w:trPr>
          <w:cantSplit w:val="0"/>
          <w:tblHeader w:val="0"/>
        </w:trPr>
        <w:tc>
          <w:tcPr/>
          <w:p w:rsidR="00000000" w:rsidDel="00000000" w:rsidP="00000000" w:rsidRDefault="00000000" w:rsidRPr="00000000" w14:paraId="0000038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38E">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38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390">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39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392">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39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394">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284" w:right="28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395">
            <w:pPr>
              <w:numPr>
                <w:ilvl w:val="0"/>
                <w:numId w:val="11"/>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992" w:right="282"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396">
            <w:pPr>
              <w:numPr>
                <w:ilvl w:val="0"/>
                <w:numId w:val="11"/>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992" w:right="282"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397">
            <w:pPr>
              <w:pBdr>
                <w:top w:space="0" w:sz="0" w:val="nil"/>
                <w:left w:space="0" w:sz="0" w:val="nil"/>
                <w:bottom w:space="0" w:sz="0" w:val="nil"/>
                <w:right w:space="0" w:sz="0" w:val="nil"/>
                <w:between w:space="0" w:sz="0" w:val="nil"/>
              </w:pBdr>
              <w:tabs>
                <w:tab w:val="left" w:leader="none" w:pos="113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398">
            <w:pPr>
              <w:pBdr>
                <w:top w:space="0" w:sz="0" w:val="nil"/>
                <w:left w:space="0" w:sz="0" w:val="nil"/>
                <w:bottom w:space="0" w:sz="0" w:val="nil"/>
                <w:right w:space="0" w:sz="0" w:val="nil"/>
                <w:between w:space="0" w:sz="0" w:val="nil"/>
              </w:pBdr>
              <w:tabs>
                <w:tab w:val="left" w:leader="none" w:pos="1134"/>
              </w:tabs>
              <w:spacing w:after="120" w:before="120" w:lineRule="auto"/>
              <w:ind w:left="284" w:right="282"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39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39A">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39B">
            <w:pPr>
              <w:pBdr>
                <w:top w:space="0" w:sz="0" w:val="nil"/>
                <w:left w:space="0" w:sz="0" w:val="nil"/>
                <w:bottom w:space="0" w:sz="0" w:val="nil"/>
                <w:right w:space="0" w:sz="0" w:val="nil"/>
                <w:between w:space="0" w:sz="0" w:val="nil"/>
              </w:pBdr>
              <w:spacing w:after="120" w:lineRule="auto"/>
              <w:ind w:left="284" w:right="282" w:firstLine="0"/>
              <w:rPr>
                <w:rFonts w:ascii="Arial" w:cs="Arial" w:eastAsia="Arial" w:hAnsi="Arial"/>
                <w:b w:val="1"/>
                <w:color w:val="000000"/>
                <w:sz w:val="24"/>
                <w:szCs w:val="24"/>
              </w:rPr>
            </w:pPr>
            <w:bookmarkStart w:colFirst="0" w:colLast="0" w:name="_heading=h.3rdcrjn" w:id="9"/>
            <w:bookmarkEnd w:id="9"/>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39C">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39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39E">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39F">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sz w:val="24"/>
                <w:szCs w:val="24"/>
              </w:rPr>
            </w:pPr>
            <w:r w:rsidDel="00000000" w:rsidR="00000000" w:rsidRPr="00000000">
              <w:rPr>
                <w:rFonts w:ascii="Arial" w:cs="Arial" w:eastAsia="Arial" w:hAnsi="Arial"/>
                <w:color w:val="000000"/>
                <w:sz w:val="24"/>
                <w:szCs w:val="24"/>
                <w:rtl w:val="0"/>
              </w:rPr>
              <w:t xml:space="preserve">Achieve a Milestone by its Milestone Date;</w:t>
            </w:r>
            <w:r w:rsidDel="00000000" w:rsidR="00000000" w:rsidRPr="00000000">
              <w:rPr>
                <w:rtl w:val="0"/>
              </w:rPr>
            </w:r>
          </w:p>
          <w:p w:rsidR="00000000" w:rsidDel="00000000" w:rsidP="00000000" w:rsidRDefault="00000000" w:rsidRPr="00000000" w14:paraId="000003A0">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r w:rsidDel="00000000" w:rsidR="00000000" w:rsidRPr="00000000">
              <w:rPr>
                <w:rtl w:val="0"/>
              </w:rPr>
            </w:r>
          </w:p>
          <w:p w:rsidR="00000000" w:rsidDel="00000000" w:rsidP="00000000" w:rsidRDefault="00000000" w:rsidRPr="00000000" w14:paraId="000003A1">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sz w:val="24"/>
                <w:szCs w:val="24"/>
              </w:rPr>
            </w:pPr>
            <w:r w:rsidDel="00000000" w:rsidR="00000000" w:rsidRPr="00000000">
              <w:rPr>
                <w:rFonts w:ascii="Arial" w:cs="Arial" w:eastAsia="Arial" w:hAnsi="Arial"/>
                <w:color w:val="000000"/>
                <w:sz w:val="24"/>
                <w:szCs w:val="24"/>
                <w:rtl w:val="0"/>
              </w:rPr>
              <w:t xml:space="preserve">comply with an obligation under a Contract;</w:t>
            </w:r>
            <w:r w:rsidDel="00000000" w:rsidR="00000000" w:rsidRPr="00000000">
              <w:rPr>
                <w:rtl w:val="0"/>
              </w:rPr>
            </w:r>
          </w:p>
        </w:tc>
      </w:tr>
      <w:tr>
        <w:trPr>
          <w:cantSplit w:val="0"/>
          <w:tblHeader w:val="0"/>
        </w:trPr>
        <w:tc>
          <w:tcPr/>
          <w:p w:rsidR="00000000" w:rsidDel="00000000" w:rsidP="00000000" w:rsidRDefault="00000000" w:rsidRPr="00000000" w14:paraId="000003A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3A3">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3A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3A5">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3A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3A7">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3A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“Supply Chain Management”</w:t>
            </w:r>
            <w:r w:rsidDel="00000000" w:rsidR="00000000" w:rsidRPr="00000000">
              <w:rPr>
                <w:rtl w:val="0"/>
              </w:rPr>
            </w:r>
          </w:p>
        </w:tc>
        <w:tc>
          <w:tcPr/>
          <w:p w:rsidR="00000000" w:rsidDel="00000000" w:rsidP="00000000" w:rsidRDefault="00000000" w:rsidRPr="00000000" w14:paraId="000003A9">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202124"/>
                <w:sz w:val="24"/>
                <w:szCs w:val="24"/>
                <w:highlight w:val="white"/>
                <w:rtl w:val="0"/>
              </w:rPr>
              <w:t xml:space="preserve">is the handling of the entire production flow of a good or service to maximize quality, delivery, customer experience and cost-effectiveness;</w:t>
            </w:r>
            <w:r w:rsidDel="00000000" w:rsidR="00000000" w:rsidRPr="00000000">
              <w:rPr>
                <w:rtl w:val="0"/>
              </w:rPr>
            </w:r>
          </w:p>
        </w:tc>
      </w:tr>
      <w:tr>
        <w:trPr>
          <w:cantSplit w:val="0"/>
          <w:tblHeader w:val="0"/>
        </w:trPr>
        <w:tc>
          <w:tcPr/>
          <w:p w:rsidR="00000000" w:rsidDel="00000000" w:rsidP="00000000" w:rsidRDefault="00000000" w:rsidRPr="00000000" w14:paraId="000003A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3AB">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vAlign w:val="center"/>
          </w:tcPr>
          <w:p w:rsidR="00000000" w:rsidDel="00000000" w:rsidP="00000000" w:rsidRDefault="00000000" w:rsidRPr="00000000" w14:paraId="000003A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"Target Cost Pricing Matrix"</w:t>
            </w:r>
            <w:r w:rsidDel="00000000" w:rsidR="00000000" w:rsidRPr="00000000">
              <w:rPr>
                <w:rtl w:val="0"/>
              </w:rPr>
            </w:r>
          </w:p>
        </w:tc>
        <w:tc>
          <w:tcPr>
            <w:vAlign w:val="center"/>
          </w:tcPr>
          <w:p w:rsidR="00000000" w:rsidDel="00000000" w:rsidP="00000000" w:rsidRDefault="00000000" w:rsidRPr="00000000" w14:paraId="000003AD">
            <w:pPr>
              <w:pBdr>
                <w:top w:space="0" w:sz="0" w:val="nil"/>
                <w:left w:space="0" w:sz="0" w:val="nil"/>
                <w:bottom w:space="0" w:sz="0" w:val="nil"/>
                <w:right w:space="0" w:sz="0" w:val="nil"/>
                <w:between w:space="0" w:sz="0" w:val="nil"/>
              </w:pBdr>
              <w:tabs>
                <w:tab w:val="left" w:leader="none" w:pos="-179"/>
              </w:tabs>
              <w:spacing w:after="120" w:lineRule="auto"/>
              <w:ind w:left="284" w:right="28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3AE">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spreadsheet setting out details of the Target Cost Charges which is set out in the Order Form and will be provided by the Buyer at Further Competition;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A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"Target Costs"</w:t>
            </w:r>
            <w:r w:rsidDel="00000000" w:rsidR="00000000" w:rsidRPr="00000000">
              <w:rPr>
                <w:rtl w:val="0"/>
              </w:rPr>
            </w:r>
          </w:p>
        </w:tc>
        <w:tc>
          <w:tcPr>
            <w:vAlign w:val="center"/>
          </w:tcPr>
          <w:p w:rsidR="00000000" w:rsidDel="00000000" w:rsidP="00000000" w:rsidRDefault="00000000" w:rsidRPr="00000000" w14:paraId="000003B0">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those costs which are recoverable in accordance with this Call-Off Contract where the target cost pricing option is selected in the Order Form;</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B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"Target Price"</w:t>
            </w:r>
            <w:r w:rsidDel="00000000" w:rsidR="00000000" w:rsidRPr="00000000">
              <w:rPr>
                <w:rtl w:val="0"/>
              </w:rPr>
            </w:r>
          </w:p>
        </w:tc>
        <w:tc>
          <w:tcPr>
            <w:vAlign w:val="center"/>
          </w:tcPr>
          <w:p w:rsidR="00000000" w:rsidDel="00000000" w:rsidP="00000000" w:rsidRDefault="00000000" w:rsidRPr="00000000" w14:paraId="000003B2">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price which is payable where the target cost pricing option is selected in the Order Form;</w:t>
            </w:r>
            <w:r w:rsidDel="00000000" w:rsidR="00000000" w:rsidRPr="00000000">
              <w:rPr>
                <w:rtl w:val="0"/>
              </w:rPr>
            </w:r>
          </w:p>
        </w:tc>
      </w:tr>
      <w:tr>
        <w:trPr>
          <w:cantSplit w:val="0"/>
          <w:tblHeader w:val="0"/>
        </w:trPr>
        <w:tc>
          <w:tcPr/>
          <w:p w:rsidR="00000000" w:rsidDel="00000000" w:rsidP="00000000" w:rsidRDefault="00000000" w:rsidRPr="00000000" w14:paraId="000003B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3B4">
            <w:pPr>
              <w:numPr>
                <w:ilvl w:val="0"/>
                <w:numId w:val="27"/>
              </w:numPr>
              <w:pBdr>
                <w:top w:space="0" w:sz="0" w:val="nil"/>
                <w:left w:space="0" w:sz="0" w:val="nil"/>
                <w:bottom w:space="0" w:sz="0" w:val="nil"/>
                <w:right w:space="0" w:sz="0" w:val="nil"/>
                <w:between w:space="0" w:sz="0" w:val="nil"/>
              </w:pBdr>
              <w:tabs>
                <w:tab w:val="left" w:leader="none" w:pos="-179"/>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3B5">
            <w:pPr>
              <w:numPr>
                <w:ilvl w:val="0"/>
                <w:numId w:val="27"/>
              </w:numPr>
              <w:pBdr>
                <w:top w:space="0" w:sz="0" w:val="nil"/>
                <w:left w:space="0" w:sz="0" w:val="nil"/>
                <w:bottom w:space="0" w:sz="0" w:val="nil"/>
                <w:right w:space="0" w:sz="0" w:val="nil"/>
                <w:between w:space="0" w:sz="0" w:val="nil"/>
              </w:pBdr>
              <w:tabs>
                <w:tab w:val="left" w:leader="none" w:pos="-179"/>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3B6">
            <w:pPr>
              <w:numPr>
                <w:ilvl w:val="0"/>
                <w:numId w:val="27"/>
              </w:numPr>
              <w:pBdr>
                <w:top w:space="0" w:sz="0" w:val="nil"/>
                <w:left w:space="0" w:sz="0" w:val="nil"/>
                <w:bottom w:space="0" w:sz="0" w:val="nil"/>
                <w:right w:space="0" w:sz="0" w:val="nil"/>
                <w:between w:space="0" w:sz="0" w:val="nil"/>
              </w:pBdr>
              <w:tabs>
                <w:tab w:val="left" w:leader="none" w:pos="-179"/>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3B7">
            <w:pPr>
              <w:numPr>
                <w:ilvl w:val="0"/>
                <w:numId w:val="27"/>
              </w:numPr>
              <w:pBdr>
                <w:top w:space="0" w:sz="0" w:val="nil"/>
                <w:left w:space="0" w:sz="0" w:val="nil"/>
                <w:bottom w:space="0" w:sz="0" w:val="nil"/>
                <w:right w:space="0" w:sz="0" w:val="nil"/>
                <w:between w:space="0" w:sz="0" w:val="nil"/>
              </w:pBdr>
              <w:tabs>
                <w:tab w:val="left" w:leader="none" w:pos="-179"/>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3B8">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3B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3BA">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3B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3BC">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3B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3BE">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3BF">
            <w:pPr>
              <w:numPr>
                <w:ilvl w:val="1"/>
                <w:numId w:val="25"/>
              </w:numPr>
              <w:pBdr>
                <w:top w:space="0" w:sz="0" w:val="nil"/>
                <w:left w:space="0" w:sz="0" w:val="nil"/>
                <w:bottom w:space="0" w:sz="0" w:val="nil"/>
                <w:right w:space="0" w:sz="0" w:val="nil"/>
                <w:between w:space="0" w:sz="0" w:val="nil"/>
              </w:pBdr>
              <w:tabs>
                <w:tab w:val="left" w:leader="none" w:pos="-576"/>
                <w:tab w:val="left" w:leader="none" w:pos="141"/>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3C0">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3C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3C2">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3C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3C4">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vAlign w:val="center"/>
          </w:tcPr>
          <w:p w:rsidR="00000000" w:rsidDel="00000000" w:rsidP="00000000" w:rsidRDefault="00000000" w:rsidRPr="00000000" w14:paraId="000003C5">
            <w:pP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"Tier One Billable Works"</w:t>
            </w:r>
          </w:p>
        </w:tc>
        <w:tc>
          <w:tcPr>
            <w:vAlign w:val="center"/>
          </w:tcPr>
          <w:p w:rsidR="00000000" w:rsidDel="00000000" w:rsidP="00000000" w:rsidRDefault="00000000" w:rsidRPr="00000000" w14:paraId="000003C6">
            <w:pPr>
              <w:tabs>
                <w:tab w:val="left" w:leader="none" w:pos="-179"/>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Billable Works within the associated total estimated value range as set out in the Order Form;</w:t>
            </w:r>
          </w:p>
        </w:tc>
      </w:tr>
      <w:tr>
        <w:trPr>
          <w:cantSplit w:val="0"/>
          <w:tblHeader w:val="0"/>
        </w:trPr>
        <w:tc>
          <w:tcPr>
            <w:vAlign w:val="center"/>
          </w:tcPr>
          <w:p w:rsidR="00000000" w:rsidDel="00000000" w:rsidP="00000000" w:rsidRDefault="00000000" w:rsidRPr="00000000" w14:paraId="000003C7">
            <w:pP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"Tier Two Billable Works"</w:t>
            </w:r>
          </w:p>
        </w:tc>
        <w:tc>
          <w:tcPr>
            <w:vAlign w:val="center"/>
          </w:tcPr>
          <w:p w:rsidR="00000000" w:rsidDel="00000000" w:rsidP="00000000" w:rsidRDefault="00000000" w:rsidRPr="00000000" w14:paraId="000003C8">
            <w:pPr>
              <w:tabs>
                <w:tab w:val="left" w:leader="none" w:pos="-179"/>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Billable Works within the associated total estimated value range as set out in the Order Form;</w:t>
            </w:r>
          </w:p>
        </w:tc>
      </w:tr>
      <w:tr>
        <w:trPr>
          <w:cantSplit w:val="0"/>
          <w:tblHeader w:val="0"/>
        </w:trPr>
        <w:tc>
          <w:tcPr>
            <w:vAlign w:val="center"/>
          </w:tcPr>
          <w:p w:rsidR="00000000" w:rsidDel="00000000" w:rsidP="00000000" w:rsidRDefault="00000000" w:rsidRPr="00000000" w14:paraId="000003C9">
            <w:pP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"Tier Three Billable Works"</w:t>
            </w:r>
          </w:p>
        </w:tc>
        <w:tc>
          <w:tcPr>
            <w:vAlign w:val="center"/>
          </w:tcPr>
          <w:p w:rsidR="00000000" w:rsidDel="00000000" w:rsidP="00000000" w:rsidRDefault="00000000" w:rsidRPr="00000000" w14:paraId="000003CA">
            <w:pPr>
              <w:tabs>
                <w:tab w:val="left" w:leader="none" w:pos="-179"/>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Billable Works within the associated total estimated value range as set out in the Order Form;</w:t>
            </w:r>
          </w:p>
        </w:tc>
      </w:tr>
      <w:tr>
        <w:trPr>
          <w:cantSplit w:val="0"/>
          <w:tblHeader w:val="0"/>
        </w:trPr>
        <w:tc>
          <w:tcPr>
            <w:vAlign w:val="center"/>
          </w:tcPr>
          <w:p w:rsidR="00000000" w:rsidDel="00000000" w:rsidP="00000000" w:rsidRDefault="00000000" w:rsidRPr="00000000" w14:paraId="000003CB">
            <w:pP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"Tier Four Billable Works"</w:t>
            </w:r>
          </w:p>
        </w:tc>
        <w:tc>
          <w:tcPr>
            <w:vAlign w:val="center"/>
          </w:tcPr>
          <w:p w:rsidR="00000000" w:rsidDel="00000000" w:rsidP="00000000" w:rsidRDefault="00000000" w:rsidRPr="00000000" w14:paraId="000003CC">
            <w:pPr>
              <w:tabs>
                <w:tab w:val="left" w:leader="none" w:pos="-179"/>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Billable Works within the associated total estimated value range as set out in the Order Form;</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C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“Total Contract Value”</w:t>
            </w:r>
            <w:r w:rsidDel="00000000" w:rsidR="00000000" w:rsidRPr="00000000">
              <w:rPr>
                <w:rtl w:val="0"/>
              </w:rPr>
            </w:r>
          </w:p>
        </w:tc>
        <w:tc>
          <w:tcPr>
            <w:vAlign w:val="center"/>
          </w:tcPr>
          <w:p w:rsidR="00000000" w:rsidDel="00000000" w:rsidP="00000000" w:rsidRDefault="00000000" w:rsidRPr="00000000" w14:paraId="000003CE">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same meaning as “Charges”</w:t>
            </w:r>
            <w:r w:rsidDel="00000000" w:rsidR="00000000" w:rsidRPr="00000000">
              <w:rPr>
                <w:rtl w:val="0"/>
              </w:rPr>
            </w:r>
          </w:p>
        </w:tc>
      </w:tr>
      <w:tr>
        <w:trPr>
          <w:cantSplit w:val="0"/>
          <w:tblHeader w:val="0"/>
        </w:trPr>
        <w:tc>
          <w:tcPr/>
          <w:p w:rsidR="00000000" w:rsidDel="00000000" w:rsidP="00000000" w:rsidRDefault="00000000" w:rsidRPr="00000000" w14:paraId="000003C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Buyer Employees"</w:t>
            </w:r>
          </w:p>
        </w:tc>
        <w:tc>
          <w:tcPr/>
          <w:p w:rsidR="00000000" w:rsidDel="00000000" w:rsidP="00000000" w:rsidRDefault="00000000" w:rsidRPr="00000000" w14:paraId="000003D0">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3D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Former Supplier Employees"</w:t>
            </w:r>
          </w:p>
        </w:tc>
        <w:tc>
          <w:tcPr/>
          <w:p w:rsidR="00000000" w:rsidDel="00000000" w:rsidP="00000000" w:rsidRDefault="00000000" w:rsidRPr="00000000" w14:paraId="000003D2">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Former Supplier, those employees of the Former Supplier to whom the Employment Regulations will apply on the Relevant Transfer Date.</w:t>
            </w:r>
          </w:p>
        </w:tc>
      </w:tr>
      <w:tr>
        <w:trPr>
          <w:cantSplit w:val="0"/>
          <w:tblHeader w:val="0"/>
        </w:trPr>
        <w:tc>
          <w:tcPr/>
          <w:p w:rsidR="00000000" w:rsidDel="00000000" w:rsidP="00000000" w:rsidRDefault="00000000" w:rsidRPr="00000000" w14:paraId="000003D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3D4">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3D5">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3D6">
            <w:pPr>
              <w:keepNext w:val="1"/>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3D7">
            <w:pPr>
              <w:keepNext w:val="1"/>
              <w:pBdr>
                <w:top w:space="0" w:sz="0" w:val="nil"/>
                <w:left w:space="0" w:sz="0" w:val="nil"/>
                <w:bottom w:space="0" w:sz="0" w:val="nil"/>
                <w:right w:space="0" w:sz="0" w:val="nil"/>
                <w:between w:space="0" w:sz="0" w:val="nil"/>
              </w:pBdr>
              <w:tabs>
                <w:tab w:val="left" w:leader="none" w:pos="-179"/>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3D8">
            <w:pPr>
              <w:keepNext w:val="1"/>
              <w:pBdr>
                <w:top w:space="0" w:sz="0" w:val="nil"/>
                <w:left w:space="0" w:sz="0" w:val="nil"/>
                <w:bottom w:space="0" w:sz="0" w:val="nil"/>
                <w:right w:space="0" w:sz="0" w:val="nil"/>
                <w:between w:space="0" w:sz="0" w:val="nil"/>
              </w:pBdr>
              <w:tabs>
                <w:tab w:val="left" w:leader="none" w:pos="-179"/>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3D9">
            <w:pPr>
              <w:keepNext w:val="1"/>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3D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3DB">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3DC">
            <w:pPr>
              <w:pBdr>
                <w:top w:space="0" w:sz="0" w:val="nil"/>
                <w:left w:space="0" w:sz="0" w:val="nil"/>
                <w:bottom w:space="0" w:sz="0" w:val="nil"/>
                <w:right w:space="0" w:sz="0" w:val="nil"/>
                <w:between w:space="0" w:sz="0" w:val="nil"/>
              </w:pBdr>
              <w:spacing w:after="120" w:lineRule="auto"/>
              <w:rPr>
                <w:rFonts w:ascii="Arial" w:cs="Arial" w:eastAsia="Arial" w:hAnsi="Arial"/>
                <w:b w:val="1"/>
                <w:color w:val="202124"/>
                <w:sz w:val="24"/>
                <w:szCs w:val="24"/>
              </w:rPr>
            </w:pPr>
            <w:r w:rsidDel="00000000" w:rsidR="00000000" w:rsidRPr="00000000">
              <w:rPr>
                <w:rFonts w:ascii="Arial" w:cs="Arial" w:eastAsia="Arial" w:hAnsi="Arial"/>
                <w:b w:val="1"/>
                <w:color w:val="202124"/>
                <w:sz w:val="24"/>
                <w:szCs w:val="24"/>
                <w:rtl w:val="0"/>
              </w:rPr>
              <w:t xml:space="preserve">“TUPE”</w:t>
            </w:r>
          </w:p>
        </w:tc>
        <w:tc>
          <w:tcPr/>
          <w:p w:rsidR="00000000" w:rsidDel="00000000" w:rsidP="00000000" w:rsidRDefault="00000000" w:rsidRPr="00000000" w14:paraId="000003DD">
            <w:pPr>
              <w:spacing w:line="276" w:lineRule="auto"/>
              <w:ind w:left="284" w:right="282" w:firstLine="0"/>
              <w:rPr>
                <w:rFonts w:ascii="Arial" w:cs="Arial" w:eastAsia="Arial" w:hAnsi="Arial"/>
                <w:color w:val="202124"/>
                <w:sz w:val="24"/>
                <w:szCs w:val="24"/>
              </w:rPr>
            </w:pPr>
            <w:r w:rsidDel="00000000" w:rsidR="00000000" w:rsidRPr="00000000">
              <w:rPr>
                <w:rFonts w:ascii="Arial" w:cs="Arial" w:eastAsia="Arial" w:hAnsi="Arial"/>
                <w:color w:val="202124"/>
                <w:sz w:val="24"/>
                <w:szCs w:val="24"/>
                <w:rtl w:val="0"/>
              </w:rPr>
              <w:t xml:space="preserve">Transfer of Undertakings (Protection of Employment) Regulations 2006 (SI 2006/246) as amended or replaced or any other regulations or UK legislation implementing the Acquired Rights Directive</w:t>
            </w:r>
          </w:p>
        </w:tc>
      </w:tr>
      <w:tr>
        <w:trPr>
          <w:cantSplit w:val="0"/>
          <w:tblHeader w:val="0"/>
        </w:trPr>
        <w:tc>
          <w:tcPr>
            <w:vAlign w:val="center"/>
          </w:tcPr>
          <w:p w:rsidR="00000000" w:rsidDel="00000000" w:rsidP="00000000" w:rsidRDefault="00000000" w:rsidRPr="00000000" w14:paraId="000003DE">
            <w:pPr>
              <w:pBdr>
                <w:top w:space="0" w:sz="0" w:val="nil"/>
                <w:left w:space="0" w:sz="0" w:val="nil"/>
                <w:bottom w:space="0" w:sz="0" w:val="nil"/>
                <w:right w:space="0" w:sz="0" w:val="nil"/>
                <w:between w:space="0" w:sz="0" w:val="nil"/>
              </w:pBdr>
              <w:spacing w:after="120" w:lineRule="auto"/>
              <w:rPr>
                <w:rFonts w:ascii="Arial" w:cs="Arial" w:eastAsia="Arial" w:hAnsi="Arial"/>
                <w:b w:val="1"/>
                <w:color w:val="202124"/>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TUPE Count"</w:t>
            </w:r>
            <w:r w:rsidDel="00000000" w:rsidR="00000000" w:rsidRPr="00000000">
              <w:rPr>
                <w:rtl w:val="0"/>
              </w:rPr>
            </w:r>
          </w:p>
        </w:tc>
        <w:tc>
          <w:tcPr>
            <w:vAlign w:val="center"/>
          </w:tcPr>
          <w:p w:rsidR="00000000" w:rsidDel="00000000" w:rsidP="00000000" w:rsidRDefault="00000000" w:rsidRPr="00000000" w14:paraId="000003DF">
            <w:pPr>
              <w:ind w:left="284" w:right="282" w:firstLine="0"/>
              <w:rPr>
                <w:rFonts w:ascii="Arial" w:cs="Arial" w:eastAsia="Arial" w:hAnsi="Arial"/>
                <w:color w:val="202124"/>
                <w:sz w:val="24"/>
                <w:szCs w:val="24"/>
              </w:rPr>
            </w:pPr>
            <w:r w:rsidDel="00000000" w:rsidR="00000000" w:rsidRPr="00000000">
              <w:rPr>
                <w:rFonts w:ascii="Arial" w:cs="Arial" w:eastAsia="Arial" w:hAnsi="Arial"/>
                <w:sz w:val="24"/>
                <w:szCs w:val="24"/>
                <w:rtl w:val="0"/>
              </w:rPr>
              <w:t xml:space="preserve">means the total number of Transferring Former Supplier Employees and/or Transferring Employer Employees identified in the TUPE Information;</w:t>
            </w:r>
            <w:r w:rsidDel="00000000" w:rsidR="00000000" w:rsidRPr="00000000">
              <w:rPr>
                <w:rtl w:val="0"/>
              </w:rPr>
            </w:r>
          </w:p>
        </w:tc>
      </w:tr>
      <w:tr>
        <w:trPr>
          <w:cantSplit w:val="0"/>
          <w:tblHeader w:val="0"/>
        </w:trPr>
        <w:tc>
          <w:tcPr/>
          <w:p w:rsidR="00000000" w:rsidDel="00000000" w:rsidP="00000000" w:rsidRDefault="00000000" w:rsidRPr="00000000" w14:paraId="000003E0">
            <w:pPr>
              <w:pBdr>
                <w:top w:space="0" w:sz="0" w:val="nil"/>
                <w:left w:space="0" w:sz="0" w:val="nil"/>
                <w:bottom w:space="0" w:sz="0" w:val="nil"/>
                <w:right w:space="0" w:sz="0" w:val="nil"/>
                <w:between w:space="0" w:sz="0" w:val="nil"/>
              </w:pBdr>
              <w:spacing w:after="120" w:lineRule="auto"/>
              <w:rPr>
                <w:rFonts w:ascii="Arial" w:cs="Arial" w:eastAsia="Arial" w:hAnsi="Arial"/>
                <w:b w:val="1"/>
                <w:color w:val="202124"/>
                <w:sz w:val="24"/>
                <w:szCs w:val="24"/>
              </w:rPr>
            </w:pPr>
            <w:r w:rsidDel="00000000" w:rsidR="00000000" w:rsidRPr="00000000">
              <w:rPr>
                <w:rFonts w:ascii="Arial" w:cs="Arial" w:eastAsia="Arial" w:hAnsi="Arial"/>
                <w:b w:val="1"/>
                <w:sz w:val="24"/>
                <w:szCs w:val="24"/>
                <w:rtl w:val="0"/>
              </w:rPr>
              <w:t xml:space="preserve">"TUPE Risk Premium"</w:t>
            </w:r>
            <w:r w:rsidDel="00000000" w:rsidR="00000000" w:rsidRPr="00000000">
              <w:rPr>
                <w:rtl w:val="0"/>
              </w:rPr>
            </w:r>
          </w:p>
        </w:tc>
        <w:tc>
          <w:tcPr/>
          <w:p w:rsidR="00000000" w:rsidDel="00000000" w:rsidP="00000000" w:rsidRDefault="00000000" w:rsidRPr="00000000" w14:paraId="000003E1">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either the:</w:t>
            </w:r>
          </w:p>
          <w:p w:rsidR="00000000" w:rsidDel="00000000" w:rsidP="00000000" w:rsidRDefault="00000000" w:rsidRPr="00000000" w14:paraId="000003E2">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992" w:right="282"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Direct Award TUPE Risk Premium</w:t>
            </w:r>
          </w:p>
          <w:p w:rsidR="00000000" w:rsidDel="00000000" w:rsidP="00000000" w:rsidRDefault="00000000" w:rsidRPr="00000000" w14:paraId="000003E3">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992" w:right="282"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Further Competition TUPE Risk Premium; or</w:t>
            </w:r>
          </w:p>
          <w:p w:rsidR="00000000" w:rsidDel="00000000" w:rsidP="00000000" w:rsidRDefault="00000000" w:rsidRPr="00000000" w14:paraId="000003E4">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992" w:right="282"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w:t>
              <w:tab/>
              <w:t xml:space="preserve">Fixed Fee TUPE Risk Premium,</w:t>
            </w:r>
          </w:p>
          <w:p w:rsidR="00000000" w:rsidDel="00000000" w:rsidP="00000000" w:rsidRDefault="00000000" w:rsidRPr="00000000" w14:paraId="000003E5">
            <w:pPr>
              <w:ind w:left="992" w:right="282" w:hanging="708"/>
              <w:rPr>
                <w:rFonts w:ascii="Arial" w:cs="Arial" w:eastAsia="Arial" w:hAnsi="Arial"/>
                <w:color w:val="202124"/>
                <w:sz w:val="24"/>
                <w:szCs w:val="24"/>
              </w:rPr>
            </w:pPr>
            <w:r w:rsidDel="00000000" w:rsidR="00000000" w:rsidRPr="00000000">
              <w:rPr>
                <w:rFonts w:ascii="Arial" w:cs="Arial" w:eastAsia="Arial" w:hAnsi="Arial"/>
                <w:sz w:val="24"/>
                <w:szCs w:val="24"/>
                <w:rtl w:val="0"/>
              </w:rPr>
              <w:t xml:space="preserve">as the context requires;</w:t>
            </w:r>
            <w:r w:rsidDel="00000000" w:rsidR="00000000" w:rsidRPr="00000000">
              <w:rPr>
                <w:rtl w:val="0"/>
              </w:rPr>
            </w:r>
          </w:p>
        </w:tc>
      </w:tr>
      <w:tr>
        <w:trPr>
          <w:cantSplit w:val="0"/>
          <w:tblHeader w:val="0"/>
        </w:trPr>
        <w:tc>
          <w:tcPr/>
          <w:p w:rsidR="00000000" w:rsidDel="00000000" w:rsidP="00000000" w:rsidRDefault="00000000" w:rsidRPr="00000000" w14:paraId="000003E6">
            <w:pPr>
              <w:pBdr>
                <w:top w:space="0" w:sz="0" w:val="nil"/>
                <w:left w:space="0" w:sz="0" w:val="nil"/>
                <w:bottom w:space="0" w:sz="0" w:val="nil"/>
                <w:right w:space="0" w:sz="0" w:val="nil"/>
                <w:between w:space="0" w:sz="0" w:val="nil"/>
              </w:pBdr>
              <w:spacing w:after="120" w:lineRule="auto"/>
              <w:rPr>
                <w:rFonts w:ascii="Arial" w:cs="Arial" w:eastAsia="Arial" w:hAnsi="Arial"/>
                <w:b w:val="1"/>
                <w:color w:val="202124"/>
                <w:sz w:val="24"/>
                <w:szCs w:val="24"/>
              </w:rPr>
            </w:pPr>
            <w:r w:rsidDel="00000000" w:rsidR="00000000" w:rsidRPr="00000000">
              <w:rPr>
                <w:rFonts w:ascii="Arial" w:cs="Arial" w:eastAsia="Arial" w:hAnsi="Arial"/>
                <w:b w:val="1"/>
                <w:sz w:val="24"/>
                <w:szCs w:val="24"/>
                <w:rtl w:val="0"/>
              </w:rPr>
              <w:t xml:space="preserve">"Further Competition TUPE Risk Premium Adjustment"</w:t>
            </w:r>
            <w:r w:rsidDel="00000000" w:rsidR="00000000" w:rsidRPr="00000000">
              <w:rPr>
                <w:rtl w:val="0"/>
              </w:rPr>
            </w:r>
          </w:p>
        </w:tc>
        <w:tc>
          <w:tcPr/>
          <w:p w:rsidR="00000000" w:rsidDel="00000000" w:rsidP="00000000" w:rsidRDefault="00000000" w:rsidRPr="00000000" w14:paraId="000003E7">
            <w:pPr>
              <w:ind w:left="284" w:right="282" w:firstLine="0"/>
              <w:rPr>
                <w:rFonts w:ascii="Arial" w:cs="Arial" w:eastAsia="Arial" w:hAnsi="Arial"/>
                <w:color w:val="202124"/>
                <w:sz w:val="24"/>
                <w:szCs w:val="24"/>
              </w:rPr>
            </w:pPr>
            <w:r w:rsidDel="00000000" w:rsidR="00000000" w:rsidRPr="00000000">
              <w:rPr>
                <w:rFonts w:ascii="Arial" w:cs="Arial" w:eastAsia="Arial" w:hAnsi="Arial"/>
                <w:sz w:val="24"/>
                <w:szCs w:val="24"/>
                <w:rtl w:val="0"/>
              </w:rPr>
              <w:t xml:space="preserve">means an adjustment to the Further Competition TUPE Risk Premium;</w:t>
            </w:r>
            <w:r w:rsidDel="00000000" w:rsidR="00000000" w:rsidRPr="00000000">
              <w:rPr>
                <w:rtl w:val="0"/>
              </w:rPr>
            </w:r>
          </w:p>
        </w:tc>
      </w:tr>
      <w:tr>
        <w:trPr>
          <w:cantSplit w:val="0"/>
          <w:tblHeader w:val="0"/>
        </w:trPr>
        <w:tc>
          <w:tcPr/>
          <w:p w:rsidR="00000000" w:rsidDel="00000000" w:rsidP="00000000" w:rsidRDefault="00000000" w:rsidRPr="00000000" w14:paraId="000003E8">
            <w:pPr>
              <w:pBdr>
                <w:top w:space="0" w:sz="0" w:val="nil"/>
                <w:left w:space="0" w:sz="0" w:val="nil"/>
                <w:bottom w:space="0" w:sz="0" w:val="nil"/>
                <w:right w:space="0" w:sz="0" w:val="nil"/>
                <w:between w:space="0" w:sz="0" w:val="nil"/>
              </w:pBdr>
              <w:spacing w:after="120" w:lineRule="auto"/>
              <w:rPr>
                <w:rFonts w:ascii="Arial" w:cs="Arial" w:eastAsia="Arial" w:hAnsi="Arial"/>
                <w:b w:val="1"/>
                <w:color w:val="202124"/>
                <w:sz w:val="24"/>
                <w:szCs w:val="24"/>
              </w:rPr>
            </w:pPr>
            <w:r w:rsidDel="00000000" w:rsidR="00000000" w:rsidRPr="00000000">
              <w:rPr>
                <w:rFonts w:ascii="Arial" w:cs="Arial" w:eastAsia="Arial" w:hAnsi="Arial"/>
                <w:b w:val="1"/>
                <w:sz w:val="24"/>
                <w:szCs w:val="24"/>
                <w:rtl w:val="0"/>
              </w:rPr>
              <w:t xml:space="preserve">"TUPE Risk Premium Average"</w:t>
            </w:r>
            <w:r w:rsidDel="00000000" w:rsidR="00000000" w:rsidRPr="00000000">
              <w:rPr>
                <w:rtl w:val="0"/>
              </w:rPr>
            </w:r>
          </w:p>
        </w:tc>
        <w:tc>
          <w:tcPr/>
          <w:p w:rsidR="00000000" w:rsidDel="00000000" w:rsidP="00000000" w:rsidRDefault="00000000" w:rsidRPr="00000000" w14:paraId="000003E9">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average  calculated by dividing the Further Competition TUPE Risk Premium by the lower of either:</w:t>
            </w:r>
          </w:p>
          <w:p w:rsidR="00000000" w:rsidDel="00000000" w:rsidP="00000000" w:rsidRDefault="00000000" w:rsidRPr="00000000" w14:paraId="000003EA">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992" w:right="282"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Labour Count; or</w:t>
            </w:r>
          </w:p>
          <w:p w:rsidR="00000000" w:rsidDel="00000000" w:rsidP="00000000" w:rsidRDefault="00000000" w:rsidRPr="00000000" w14:paraId="000003EB">
            <w:pPr>
              <w:ind w:left="992" w:right="282"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 xml:space="preserve">the TUPE Count.</w:t>
            </w:r>
          </w:p>
          <w:p w:rsidR="00000000" w:rsidDel="00000000" w:rsidP="00000000" w:rsidRDefault="00000000" w:rsidRPr="00000000" w14:paraId="000003EC">
            <w:pPr>
              <w:ind w:left="992" w:right="282" w:hanging="708"/>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3ED">
            <w:pPr>
              <w:pBdr>
                <w:top w:space="0" w:sz="0" w:val="nil"/>
                <w:left w:space="0" w:sz="0" w:val="nil"/>
                <w:bottom w:space="0" w:sz="0" w:val="nil"/>
                <w:right w:space="0" w:sz="0" w:val="nil"/>
                <w:between w:space="0" w:sz="0" w:val="nil"/>
              </w:pBdr>
              <w:spacing w:after="120" w:lineRule="auto"/>
              <w:rPr>
                <w:rFonts w:ascii="Arial" w:cs="Arial" w:eastAsia="Arial" w:hAnsi="Arial"/>
                <w:b w:val="1"/>
                <w:color w:val="202124"/>
                <w:sz w:val="24"/>
                <w:szCs w:val="24"/>
              </w:rPr>
            </w:pPr>
            <w:r w:rsidDel="00000000" w:rsidR="00000000" w:rsidRPr="00000000">
              <w:rPr>
                <w:rFonts w:ascii="Arial" w:cs="Arial" w:eastAsia="Arial" w:hAnsi="Arial"/>
                <w:b w:val="1"/>
                <w:color w:val="202124"/>
                <w:sz w:val="24"/>
                <w:szCs w:val="24"/>
                <w:rtl w:val="0"/>
              </w:rPr>
              <w:t xml:space="preserve">“UKAS”</w:t>
            </w:r>
          </w:p>
        </w:tc>
        <w:tc>
          <w:tcPr/>
          <w:p w:rsidR="00000000" w:rsidDel="00000000" w:rsidP="00000000" w:rsidRDefault="00000000" w:rsidRPr="00000000" w14:paraId="000003EE">
            <w:pPr>
              <w:ind w:left="284" w:right="28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United Kingdom Accreditation Service</w:t>
            </w:r>
            <w:r w:rsidDel="00000000" w:rsidR="00000000" w:rsidRPr="00000000">
              <w:rPr>
                <w:rtl w:val="0"/>
              </w:rPr>
            </w:r>
          </w:p>
        </w:tc>
      </w:tr>
      <w:tr>
        <w:trPr>
          <w:cantSplit w:val="0"/>
          <w:tblHeader w:val="0"/>
        </w:trPr>
        <w:tc>
          <w:tcPr/>
          <w:p w:rsidR="00000000" w:rsidDel="00000000" w:rsidP="00000000" w:rsidRDefault="00000000" w:rsidRPr="00000000" w14:paraId="000003EF">
            <w:pPr>
              <w:pBdr>
                <w:top w:space="0" w:sz="0" w:val="nil"/>
                <w:left w:space="0" w:sz="0" w:val="nil"/>
                <w:bottom w:space="0" w:sz="0" w:val="nil"/>
                <w:right w:space="0" w:sz="0" w:val="nil"/>
                <w:between w:space="0" w:sz="0" w:val="nil"/>
              </w:pBdr>
              <w:spacing w:after="120" w:lineRule="auto"/>
              <w:rPr>
                <w:rFonts w:ascii="Arial" w:cs="Arial" w:eastAsia="Arial" w:hAnsi="Arial"/>
                <w:b w:val="1"/>
                <w:color w:val="202124"/>
                <w:sz w:val="24"/>
                <w:szCs w:val="24"/>
              </w:rPr>
            </w:pPr>
            <w:r w:rsidDel="00000000" w:rsidR="00000000" w:rsidRPr="00000000">
              <w:rPr>
                <w:rFonts w:ascii="Arial" w:cs="Arial" w:eastAsia="Arial" w:hAnsi="Arial"/>
                <w:b w:val="1"/>
                <w:color w:val="202124"/>
                <w:sz w:val="24"/>
                <w:szCs w:val="24"/>
                <w:rtl w:val="0"/>
              </w:rPr>
              <w:t xml:space="preserve">“UK GDPR”</w:t>
            </w:r>
          </w:p>
        </w:tc>
        <w:tc>
          <w:tcPr/>
          <w:p w:rsidR="00000000" w:rsidDel="00000000" w:rsidP="00000000" w:rsidRDefault="00000000" w:rsidRPr="00000000" w14:paraId="000003F0">
            <w:pPr>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p w:rsidR="00000000" w:rsidDel="00000000" w:rsidP="00000000" w:rsidRDefault="00000000" w:rsidRPr="00000000" w14:paraId="000003F1">
            <w:pPr>
              <w:ind w:left="284" w:right="282" w:firstLine="0"/>
              <w:rPr>
                <w:rFonts w:ascii="Arial" w:cs="Arial" w:eastAsia="Arial" w:hAnsi="Arial"/>
                <w:color w:val="202124"/>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3F2">
            <w:pPr>
              <w:pBdr>
                <w:top w:space="0" w:sz="0" w:val="nil"/>
                <w:left w:space="0" w:sz="0" w:val="nil"/>
                <w:bottom w:space="0" w:sz="0" w:val="nil"/>
                <w:right w:space="0" w:sz="0" w:val="nil"/>
                <w:between w:space="0" w:sz="0" w:val="nil"/>
              </w:pBdr>
              <w:spacing w:after="120" w:lineRule="auto"/>
              <w:rPr>
                <w:rFonts w:ascii="Arial" w:cs="Arial" w:eastAsia="Arial" w:hAnsi="Arial"/>
                <w:b w:val="1"/>
                <w:color w:val="202124"/>
                <w:sz w:val="24"/>
                <w:szCs w:val="24"/>
              </w:rPr>
            </w:pPr>
            <w:r w:rsidDel="00000000" w:rsidR="00000000" w:rsidRPr="00000000">
              <w:rPr>
                <w:rFonts w:ascii="Arial" w:cs="Arial" w:eastAsia="Arial" w:hAnsi="Arial"/>
                <w:b w:val="1"/>
                <w:color w:val="202124"/>
                <w:sz w:val="24"/>
                <w:szCs w:val="24"/>
                <w:rtl w:val="0"/>
              </w:rPr>
              <w:t xml:space="preserve">“United Kingdom”</w:t>
            </w:r>
          </w:p>
        </w:tc>
        <w:tc>
          <w:tcPr/>
          <w:p w:rsidR="00000000" w:rsidDel="00000000" w:rsidP="00000000" w:rsidRDefault="00000000" w:rsidRPr="00000000" w14:paraId="000003F3">
            <w:pPr>
              <w:spacing w:line="276" w:lineRule="auto"/>
              <w:ind w:left="284" w:right="282" w:firstLine="0"/>
              <w:rPr>
                <w:rFonts w:ascii="Arial" w:cs="Arial" w:eastAsia="Arial" w:hAnsi="Arial"/>
                <w:color w:val="202124"/>
                <w:sz w:val="24"/>
                <w:szCs w:val="24"/>
              </w:rPr>
            </w:pPr>
            <w:r w:rsidDel="00000000" w:rsidR="00000000" w:rsidRPr="00000000">
              <w:rPr>
                <w:rFonts w:ascii="Arial" w:cs="Arial" w:eastAsia="Arial" w:hAnsi="Arial"/>
                <w:color w:val="202124"/>
                <w:sz w:val="24"/>
                <w:szCs w:val="24"/>
                <w:rtl w:val="0"/>
              </w:rPr>
              <w:t xml:space="preserve">the country that consists of England, Scotland, Wales, and Northern Ireland</w:t>
            </w:r>
          </w:p>
        </w:tc>
      </w:tr>
      <w:tr>
        <w:trPr>
          <w:cantSplit w:val="0"/>
          <w:tblHeader w:val="0"/>
        </w:trPr>
        <w:tc>
          <w:tcPr/>
          <w:p w:rsidR="00000000" w:rsidDel="00000000" w:rsidP="00000000" w:rsidRDefault="00000000" w:rsidRPr="00000000" w14:paraId="000003F4">
            <w:pPr>
              <w:pBdr>
                <w:top w:space="0" w:sz="0" w:val="nil"/>
                <w:left w:space="0" w:sz="0" w:val="nil"/>
                <w:bottom w:space="0" w:sz="0" w:val="nil"/>
                <w:right w:space="0" w:sz="0" w:val="nil"/>
                <w:between w:space="0" w:sz="0" w:val="nil"/>
              </w:pBdr>
              <w:spacing w:after="120" w:lineRule="auto"/>
              <w:rPr>
                <w:rFonts w:ascii="Arial" w:cs="Arial" w:eastAsia="Arial" w:hAnsi="Arial"/>
                <w:b w:val="1"/>
                <w:color w:val="202124"/>
                <w:sz w:val="24"/>
                <w:szCs w:val="24"/>
              </w:rPr>
            </w:pPr>
            <w:r w:rsidDel="00000000" w:rsidR="00000000" w:rsidRPr="00000000">
              <w:rPr>
                <w:rFonts w:ascii="Arial" w:cs="Arial" w:eastAsia="Arial" w:hAnsi="Arial"/>
                <w:b w:val="1"/>
                <w:sz w:val="24"/>
                <w:szCs w:val="24"/>
                <w:rtl w:val="0"/>
              </w:rPr>
              <w:t xml:space="preserve">“UOM”</w:t>
            </w:r>
            <w:r w:rsidDel="00000000" w:rsidR="00000000" w:rsidRPr="00000000">
              <w:rPr>
                <w:rtl w:val="0"/>
              </w:rPr>
            </w:r>
          </w:p>
        </w:tc>
        <w:tc>
          <w:tcPr/>
          <w:p w:rsidR="00000000" w:rsidDel="00000000" w:rsidP="00000000" w:rsidRDefault="00000000" w:rsidRPr="00000000" w14:paraId="000003F5">
            <w:pPr>
              <w:ind w:left="284" w:right="282" w:firstLine="0"/>
              <w:rPr>
                <w:rFonts w:ascii="Arial" w:cs="Arial" w:eastAsia="Arial" w:hAnsi="Arial"/>
                <w:color w:val="202124"/>
                <w:sz w:val="24"/>
                <w:szCs w:val="24"/>
              </w:rPr>
            </w:pPr>
            <w:r w:rsidDel="00000000" w:rsidR="00000000" w:rsidRPr="00000000">
              <w:rPr>
                <w:rFonts w:ascii="Arial" w:cs="Arial" w:eastAsia="Arial" w:hAnsi="Arial"/>
                <w:sz w:val="24"/>
                <w:szCs w:val="24"/>
                <w:rtl w:val="0"/>
              </w:rPr>
              <w:t xml:space="preserve">the applicable unit of measure as defined in Framework Schedule (Framework Prices)</w:t>
            </w:r>
            <w:r w:rsidDel="00000000" w:rsidR="00000000" w:rsidRPr="00000000">
              <w:rPr>
                <w:rtl w:val="0"/>
              </w:rPr>
            </w:r>
          </w:p>
        </w:tc>
      </w:tr>
      <w:tr>
        <w:trPr>
          <w:cantSplit w:val="0"/>
          <w:tblHeader w:val="0"/>
        </w:trPr>
        <w:tc>
          <w:tcPr/>
          <w:p w:rsidR="00000000" w:rsidDel="00000000" w:rsidP="00000000" w:rsidRDefault="00000000" w:rsidRPr="00000000" w14:paraId="000003F6">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“Value Added Services”</w:t>
            </w:r>
          </w:p>
        </w:tc>
        <w:tc>
          <w:tcPr/>
          <w:p w:rsidR="00000000" w:rsidDel="00000000" w:rsidP="00000000" w:rsidRDefault="00000000" w:rsidRPr="00000000" w14:paraId="000003F7">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are features that can be added to a core product to enhance the user experience or a service that could function as a standalone product or feature</w:t>
            </w:r>
            <w:r w:rsidDel="00000000" w:rsidR="00000000" w:rsidRPr="00000000">
              <w:rPr>
                <w:rtl w:val="0"/>
              </w:rPr>
            </w:r>
          </w:p>
        </w:tc>
      </w:tr>
      <w:tr>
        <w:trPr>
          <w:cantSplit w:val="0"/>
          <w:tblHeader w:val="0"/>
        </w:trPr>
        <w:tc>
          <w:tcPr/>
          <w:p w:rsidR="00000000" w:rsidDel="00000000" w:rsidP="00000000" w:rsidRDefault="00000000" w:rsidRPr="00000000" w14:paraId="000003F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3F9">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3F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3FB">
            <w:pPr>
              <w:pBdr>
                <w:top w:space="0" w:sz="0" w:val="nil"/>
                <w:left w:space="0" w:sz="0" w:val="nil"/>
                <w:bottom w:space="0" w:sz="0" w:val="nil"/>
                <w:right w:space="0" w:sz="0" w:val="nil"/>
                <w:between w:space="0" w:sz="0" w:val="nil"/>
              </w:pBdr>
              <w:tabs>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3F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3FD">
            <w:pPr>
              <w:pBdr>
                <w:top w:space="0" w:sz="0" w:val="nil"/>
                <w:left w:space="0" w:sz="0" w:val="nil"/>
                <w:bottom w:space="0" w:sz="0" w:val="nil"/>
                <w:right w:space="0" w:sz="0" w:val="nil"/>
                <w:between w:space="0" w:sz="0" w:val="nil"/>
              </w:pBdr>
              <w:tabs>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3F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3FF">
            <w:pPr>
              <w:pBdr>
                <w:top w:space="0" w:sz="0" w:val="nil"/>
                <w:left w:space="0" w:sz="0" w:val="nil"/>
                <w:bottom w:space="0" w:sz="0" w:val="nil"/>
                <w:right w:space="0" w:sz="0" w:val="nil"/>
                <w:between w:space="0" w:sz="0" w:val="nil"/>
              </w:pBdr>
              <w:tabs>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40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401">
            <w:pPr>
              <w:pBdr>
                <w:top w:space="0" w:sz="0" w:val="nil"/>
                <w:left w:space="0" w:sz="0" w:val="nil"/>
                <w:bottom w:space="0" w:sz="0" w:val="nil"/>
                <w:right w:space="0" w:sz="0" w:val="nil"/>
                <w:between w:space="0" w:sz="0" w:val="nil"/>
              </w:pBdr>
              <w:tabs>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40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“WCAG Principles”</w:t>
            </w:r>
            <w:r w:rsidDel="00000000" w:rsidR="00000000" w:rsidRPr="00000000">
              <w:rPr>
                <w:rtl w:val="0"/>
              </w:rPr>
            </w:r>
          </w:p>
        </w:tc>
        <w:tc>
          <w:tcPr/>
          <w:p w:rsidR="00000000" w:rsidDel="00000000" w:rsidP="00000000" w:rsidRDefault="00000000" w:rsidRPr="00000000" w14:paraId="00000403">
            <w:pPr>
              <w:tabs>
                <w:tab w:val="left" w:leader="none" w:pos="284"/>
              </w:tabs>
              <w:spacing w:line="276" w:lineRule="auto"/>
              <w:ind w:left="284" w:right="141" w:firstLine="0"/>
              <w:rPr>
                <w:rFonts w:ascii="Arial" w:cs="Arial" w:eastAsia="Arial" w:hAnsi="Arial"/>
                <w:color w:val="000000"/>
                <w:sz w:val="24"/>
                <w:szCs w:val="24"/>
              </w:rPr>
            </w:pPr>
            <w:r w:rsidDel="00000000" w:rsidR="00000000" w:rsidRPr="00000000">
              <w:rPr>
                <w:rFonts w:ascii="Arial" w:cs="Arial" w:eastAsia="Arial" w:hAnsi="Arial"/>
                <w:color w:val="202124"/>
                <w:sz w:val="24"/>
                <w:szCs w:val="24"/>
                <w:highlight w:val="white"/>
                <w:rtl w:val="0"/>
              </w:rPr>
              <w:t xml:space="preserve">the Web Content Accessibility Guidelines (WCAG) are organized by four main principles, which state that content must be POUR: Perceivable, Operable, Understandable, and Robust. WCAG is the most-referenced set of standards in website accessibility lawsuits and is widely considered the best way to achieve accessibility;</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04">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“Waste Hierarchy”</w:t>
            </w:r>
          </w:p>
        </w:tc>
        <w:tc>
          <w:tcPr>
            <w:vAlign w:val="center"/>
          </w:tcPr>
          <w:p w:rsidR="00000000" w:rsidDel="00000000" w:rsidP="00000000" w:rsidRDefault="00000000" w:rsidRPr="00000000" w14:paraId="00000405">
            <w:pPr>
              <w:tabs>
                <w:tab w:val="left" w:leader="none" w:pos="284"/>
              </w:tabs>
              <w:ind w:left="284" w:right="141" w:firstLine="0"/>
              <w:rPr>
                <w:rFonts w:ascii="Arial" w:cs="Arial" w:eastAsia="Arial" w:hAnsi="Arial"/>
                <w:color w:val="202124"/>
                <w:sz w:val="24"/>
                <w:szCs w:val="24"/>
                <w:highlight w:val="white"/>
              </w:rPr>
            </w:pPr>
            <w:r w:rsidDel="00000000" w:rsidR="00000000" w:rsidRPr="00000000">
              <w:rPr>
                <w:rFonts w:ascii="Arial" w:cs="Arial" w:eastAsia="Arial" w:hAnsi="Arial"/>
                <w:sz w:val="24"/>
                <w:szCs w:val="24"/>
                <w:rtl w:val="0"/>
              </w:rPr>
              <w:t xml:space="preserve">has the meaning given to it in the Waste (England and Wales) Regulations 2011, as amended from time to time;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06">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“Works Arising from Planned Maintenance”</w:t>
            </w:r>
          </w:p>
        </w:tc>
        <w:tc>
          <w:tcPr>
            <w:vAlign w:val="center"/>
          </w:tcPr>
          <w:p w:rsidR="00000000" w:rsidDel="00000000" w:rsidP="00000000" w:rsidRDefault="00000000" w:rsidRPr="00000000" w14:paraId="00000407">
            <w:pPr>
              <w:tabs>
                <w:tab w:val="left" w:leader="none" w:pos="284"/>
              </w:tabs>
              <w:ind w:left="284" w:right="141" w:firstLine="0"/>
              <w:rPr>
                <w:rFonts w:ascii="Arial" w:cs="Arial" w:eastAsia="Arial" w:hAnsi="Arial"/>
                <w:color w:val="202124"/>
                <w:sz w:val="24"/>
                <w:szCs w:val="24"/>
                <w:highlight w:val="white"/>
              </w:rPr>
            </w:pPr>
            <w:r w:rsidDel="00000000" w:rsidR="00000000" w:rsidRPr="00000000">
              <w:rPr>
                <w:rFonts w:ascii="Arial" w:cs="Arial" w:eastAsia="Arial" w:hAnsi="Arial"/>
                <w:sz w:val="24"/>
                <w:szCs w:val="24"/>
                <w:rtl w:val="0"/>
              </w:rPr>
              <w:t xml:space="preserve">means Reactive Maintenance Works identified by either the Supplier or Buyer which are required to be completed. These works may be identified during Planned Maintenance activities, building fabric inspections, audits or other non-reactive activities.</w:t>
            </w:r>
            <w:r w:rsidDel="00000000" w:rsidR="00000000" w:rsidRPr="00000000">
              <w:rPr>
                <w:rtl w:val="0"/>
              </w:rPr>
            </w:r>
          </w:p>
        </w:tc>
      </w:tr>
      <w:tr>
        <w:trPr>
          <w:cantSplit w:val="0"/>
          <w:tblHeader w:val="0"/>
        </w:trPr>
        <w:tc>
          <w:tcPr/>
          <w:p w:rsidR="00000000" w:rsidDel="00000000" w:rsidP="00000000" w:rsidRDefault="00000000" w:rsidRPr="00000000" w14:paraId="0000040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409">
            <w:pPr>
              <w:pBdr>
                <w:top w:space="0" w:sz="0" w:val="nil"/>
                <w:left w:space="0" w:sz="0" w:val="nil"/>
                <w:bottom w:space="0" w:sz="0" w:val="nil"/>
                <w:right w:space="0" w:sz="0" w:val="nil"/>
                <w:between w:space="0" w:sz="0" w:val="nil"/>
              </w:pBdr>
              <w:tabs>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40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40B">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40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Hours"</w:t>
            </w:r>
          </w:p>
        </w:tc>
        <w:tc>
          <w:tcPr/>
          <w:p w:rsidR="00000000" w:rsidDel="00000000" w:rsidP="00000000" w:rsidRDefault="00000000" w:rsidRPr="00000000" w14:paraId="0000040D">
            <w:pPr>
              <w:spacing w:after="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 hours of business of the Buyer at each Buyer Premises as defined by the Buyer at Further Competition. </w:t>
            </w:r>
          </w:p>
          <w:p w:rsidR="00000000" w:rsidDel="00000000" w:rsidP="00000000" w:rsidRDefault="00000000" w:rsidRPr="00000000" w14:paraId="0000040E">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40F">
      <w:pPr>
        <w:spacing w:after="0" w:line="240" w:lineRule="auto"/>
        <w:rPr>
          <w:rFonts w:ascii="Arial" w:cs="Arial" w:eastAsia="Arial" w:hAnsi="Arial"/>
          <w:sz w:val="24"/>
          <w:szCs w:val="24"/>
        </w:rPr>
      </w:pP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16">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41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18">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1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RM6331</w:t>
      <w:tab/>
      <w:t xml:space="preserve">                                           </w:t>
    </w:r>
  </w:p>
  <w:p w:rsidR="00000000" w:rsidDel="00000000" w:rsidP="00000000" w:rsidRDefault="00000000" w:rsidRPr="00000000" w14:paraId="000004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v4.0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1B">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v3.12</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1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411">
    <w:pPr>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w:t>
    </w:r>
    <w:r w:rsidDel="00000000" w:rsidR="00000000" w:rsidRPr="00000000">
      <w:rPr>
        <w:rFonts w:ascii="Arial" w:cs="Arial" w:eastAsia="Arial" w:hAnsi="Arial"/>
        <w:sz w:val="20"/>
        <w:szCs w:val="20"/>
        <w:rtl w:val="0"/>
      </w:rPr>
      <w:t xml:space="preserve">2023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41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498" w:hanging="357.00000000000006"/>
      </w:pPr>
      <w:rPr>
        <w:smallCaps w:val="0"/>
        <w:strike w:val="0"/>
        <w:color w:val="000000"/>
        <w:u w:val="none"/>
        <w:vertAlign w:val="baseline"/>
      </w:rPr>
    </w:lvl>
    <w:lvl w:ilvl="1">
      <w:start w:val="1"/>
      <w:numFmt w:val="decimal"/>
      <w:lvlText w:val="%1.%2"/>
      <w:lvlJc w:val="left"/>
      <w:pPr>
        <w:ind w:left="782"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574" w:hanging="720"/>
      </w:pPr>
      <w:rPr>
        <w:b w:val="0"/>
        <w:i w:val="0"/>
        <w:smallCaps w:val="0"/>
        <w:strike w:val="0"/>
        <w:color w:val="000000"/>
        <w:u w:val="none"/>
        <w:vertAlign w:val="baseline"/>
      </w:rPr>
    </w:lvl>
    <w:lvl w:ilvl="3">
      <w:start w:val="1"/>
      <w:numFmt w:val="lowerLetter"/>
      <w:lvlText w:val="(%4)"/>
      <w:lvlJc w:val="left"/>
      <w:pPr>
        <w:ind w:left="3126"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203" w:hanging="1080"/>
      </w:pPr>
      <w:rPr>
        <w:b w:val="0"/>
        <w:i w:val="0"/>
        <w:smallCaps w:val="0"/>
        <w:strike w:val="0"/>
        <w:color w:val="000000"/>
        <w:u w:val="none"/>
        <w:vertAlign w:val="baseline"/>
      </w:rPr>
    </w:lvl>
    <w:lvl w:ilvl="5">
      <w:start w:val="1"/>
      <w:numFmt w:val="upperLetter"/>
      <w:lvlText w:val="(%6)"/>
      <w:lvlJc w:val="left"/>
      <w:pPr>
        <w:ind w:left="1294" w:hanging="1080"/>
      </w:pPr>
      <w:rPr>
        <w:b w:val="0"/>
        <w:i w:val="0"/>
        <w:smallCaps w:val="0"/>
        <w:strike w:val="0"/>
        <w:color w:val="000000"/>
        <w:u w:val="none"/>
        <w:vertAlign w:val="baseline"/>
      </w:rPr>
    </w:lvl>
    <w:lvl w:ilvl="6">
      <w:start w:val="1"/>
      <w:numFmt w:val="decimal"/>
      <w:lvlText w:val="%1.%2.%3.%4.%5.%6.%7"/>
      <w:lvlJc w:val="left"/>
      <w:pPr>
        <w:ind w:left="1654" w:hanging="1440"/>
      </w:pPr>
      <w:rPr/>
    </w:lvl>
    <w:lvl w:ilvl="7">
      <w:start w:val="1"/>
      <w:numFmt w:val="decimal"/>
      <w:lvlText w:val="%1.%2.%3.%4.%5.%6.%7.%8"/>
      <w:lvlJc w:val="left"/>
      <w:pPr>
        <w:ind w:left="1654" w:hanging="1440"/>
      </w:pPr>
      <w:rPr/>
    </w:lvl>
    <w:lvl w:ilvl="8">
      <w:start w:val="1"/>
      <w:numFmt w:val="decimal"/>
      <w:lvlText w:val="%1.%2.%3.%4.%5.%6.%7.%8.%9"/>
      <w:lvlJc w:val="left"/>
      <w:pPr>
        <w:ind w:left="2014" w:hanging="180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sz w:val="24"/>
        <w:szCs w:val="24"/>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widowControl w:val="0"/>
      <w:spacing w:after="220" w:line="240" w:lineRule="auto"/>
      <w:ind w:left="709" w:hanging="709"/>
      <w:jc w:val="both"/>
      <w:outlineLvl w:val="1"/>
    </w:pPr>
    <w:rPr>
      <w:rFonts w:ascii="Trebuchet MS" w:cs="Trebuchet MS" w:eastAsia="Trebuchet MS" w:hAnsi="Trebuchet MS"/>
      <w:sz w:val="20"/>
      <w:szCs w:val="20"/>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0"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CellMar>
        <w:left w:w="0.0" w:type="dxa"/>
        <w:right w:w="0.0" w:type="dxa"/>
      </w:tblCellMar>
    </w:tblPr>
  </w:style>
  <w:style w:type="paragraph" w:styleId="Revision">
    <w:name w:val="Revision"/>
    <w:hidden w:val="1"/>
    <w:uiPriority w:val="99"/>
    <w:semiHidden w:val="1"/>
    <w:rsid w:val="00726F14"/>
    <w:pPr>
      <w:spacing w:after="0" w:line="240" w:lineRule="auto"/>
    </w:pPr>
  </w:style>
  <w:style w:type="paragraph" w:styleId="BalloonText">
    <w:name w:val="Balloon Text"/>
    <w:basedOn w:val="Normal"/>
    <w:link w:val="BalloonTextChar"/>
    <w:uiPriority w:val="99"/>
    <w:semiHidden w:val="1"/>
    <w:unhideWhenUsed w:val="1"/>
    <w:rsid w:val="00726F14"/>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26F14"/>
    <w:rPr>
      <w:rFonts w:ascii="Segoe UI" w:cs="Segoe UI" w:hAnsi="Segoe UI"/>
      <w:sz w:val="18"/>
      <w:szCs w:val="18"/>
    </w:rPr>
  </w:style>
  <w:style w:type="character" w:styleId="CommentReference">
    <w:name w:val="annotation reference"/>
    <w:basedOn w:val="DefaultParagraphFont"/>
    <w:uiPriority w:val="99"/>
    <w:semiHidden w:val="1"/>
    <w:unhideWhenUsed w:val="1"/>
    <w:rsid w:val="00C60DF6"/>
    <w:rPr>
      <w:sz w:val="16"/>
      <w:szCs w:val="16"/>
    </w:rPr>
  </w:style>
  <w:style w:type="paragraph" w:styleId="CommentText">
    <w:name w:val="annotation text"/>
    <w:basedOn w:val="Normal"/>
    <w:link w:val="CommentTextChar"/>
    <w:uiPriority w:val="99"/>
    <w:semiHidden w:val="1"/>
    <w:unhideWhenUsed w:val="1"/>
    <w:rsid w:val="00C60DF6"/>
    <w:pPr>
      <w:spacing w:line="240" w:lineRule="auto"/>
    </w:pPr>
    <w:rPr>
      <w:sz w:val="20"/>
      <w:szCs w:val="20"/>
    </w:rPr>
  </w:style>
  <w:style w:type="character" w:styleId="CommentTextChar" w:customStyle="1">
    <w:name w:val="Comment Text Char"/>
    <w:basedOn w:val="DefaultParagraphFont"/>
    <w:link w:val="CommentText"/>
    <w:uiPriority w:val="99"/>
    <w:semiHidden w:val="1"/>
    <w:rsid w:val="00C60DF6"/>
    <w:rPr>
      <w:sz w:val="20"/>
      <w:szCs w:val="20"/>
    </w:rPr>
  </w:style>
  <w:style w:type="paragraph" w:styleId="CommentSubject">
    <w:name w:val="annotation subject"/>
    <w:basedOn w:val="CommentText"/>
    <w:next w:val="CommentText"/>
    <w:link w:val="CommentSubjectChar"/>
    <w:uiPriority w:val="99"/>
    <w:semiHidden w:val="1"/>
    <w:unhideWhenUsed w:val="1"/>
    <w:rsid w:val="00C60DF6"/>
    <w:rPr>
      <w:b w:val="1"/>
      <w:bCs w:val="1"/>
    </w:rPr>
  </w:style>
  <w:style w:type="character" w:styleId="CommentSubjectChar" w:customStyle="1">
    <w:name w:val="Comment Subject Char"/>
    <w:basedOn w:val="CommentTextChar"/>
    <w:link w:val="CommentSubject"/>
    <w:uiPriority w:val="99"/>
    <w:semiHidden w:val="1"/>
    <w:rsid w:val="00C60DF6"/>
    <w:rPr>
      <w:b w:val="1"/>
      <w:bCs w:val="1"/>
      <w:sz w:val="20"/>
      <w:szCs w:val="20"/>
    </w:rPr>
  </w:style>
  <w:style w:type="paragraph" w:styleId="ListParagraph">
    <w:name w:val="List Paragraph"/>
    <w:basedOn w:val="Normal"/>
    <w:uiPriority w:val="34"/>
    <w:qFormat w:val="1"/>
    <w:rsid w:val="00162D91"/>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www.gov.uk/government/publications/blowing-the-whistle-list-of-prescribed-people-and-bodies--2/whistleblowing-list-of-prescribed-people-and-bodies" TargetMode="External"/><Relationship Id="rId13" Type="http://schemas.openxmlformats.org/officeDocument/2006/relationships/header" Target="header2.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uidance/ir35-find-out-if-it-applies" TargetMode="External"/><Relationship Id="rId15" Type="http://schemas.openxmlformats.org/officeDocument/2006/relationships/footer" Target="footer2.xml"/><Relationship Id="rId14" Type="http://schemas.openxmlformats.org/officeDocument/2006/relationships/footer" Target="footer3.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ons.gov.uk/methodology/geography/ukgeographies/eurostat"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oMVidpPX1gRCE28LS3VIbCerSA==">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2023-07-27T11:16:00Z</dcterms:created>
  <dc:creator>Karen Cox</dc:creator>
</cp:coreProperties>
</file>